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CA26" w14:textId="77777777" w:rsidR="00455D77" w:rsidRPr="006727B9" w:rsidRDefault="00455D77" w:rsidP="00455D77">
      <w:pPr>
        <w:spacing w:line="312" w:lineRule="auto"/>
        <w:jc w:val="center"/>
        <w:rPr>
          <w:rFonts w:ascii="Garamond" w:hAnsi="Garamond"/>
          <w:b/>
          <w:bCs/>
          <w:color w:val="000000" w:themeColor="text1"/>
          <w:sz w:val="24"/>
          <w:szCs w:val="24"/>
        </w:rPr>
      </w:pPr>
    </w:p>
    <w:p w14:paraId="0CCF514F" w14:textId="17DCD883" w:rsidR="00455D77" w:rsidRPr="006727B9" w:rsidRDefault="00000000" w:rsidP="00455D77">
      <w:pPr>
        <w:spacing w:line="312" w:lineRule="auto"/>
        <w:jc w:val="center"/>
        <w:rPr>
          <w:rFonts w:ascii="Garamond" w:hAnsi="Garamond"/>
          <w:b/>
          <w:bCs/>
          <w:color w:val="000000" w:themeColor="text1"/>
          <w:sz w:val="24"/>
          <w:szCs w:val="24"/>
        </w:rPr>
      </w:pPr>
      <w:r w:rsidRPr="006727B9">
        <w:rPr>
          <w:rFonts w:ascii="Garamond" w:hAnsi="Garamond"/>
          <w:b/>
          <w:bCs/>
          <w:color w:val="000000" w:themeColor="text1"/>
          <w:sz w:val="24"/>
          <w:szCs w:val="24"/>
        </w:rPr>
        <w:t>MODELO DE TERMO DE CONTRATO</w:t>
      </w:r>
      <w:r w:rsidRPr="006727B9">
        <w:rPr>
          <w:rFonts w:ascii="Garamond" w:hAnsi="Garamond"/>
          <w:b/>
          <w:bCs/>
          <w:color w:val="000000" w:themeColor="text1"/>
          <w:sz w:val="24"/>
          <w:szCs w:val="24"/>
        </w:rPr>
        <w:br/>
        <w:t>Lei nº 14.133, de 1º de abril de 2021</w:t>
      </w:r>
      <w:r w:rsidRPr="006727B9">
        <w:rPr>
          <w:rFonts w:ascii="Garamond" w:hAnsi="Garamond"/>
          <w:b/>
          <w:bCs/>
          <w:color w:val="000000" w:themeColor="text1"/>
          <w:sz w:val="24"/>
          <w:szCs w:val="24"/>
        </w:rPr>
        <w:br/>
        <w:t>AQUISIÇÕES</w:t>
      </w:r>
    </w:p>
    <w:p w14:paraId="4A7313E3" w14:textId="086EF8FA" w:rsidR="00381F54" w:rsidRPr="006727B9" w:rsidRDefault="00CC1B90">
      <w:pPr>
        <w:spacing w:after="288" w:line="312" w:lineRule="auto"/>
        <w:jc w:val="center"/>
        <w:rPr>
          <w:rFonts w:ascii="Garamond" w:hAnsi="Garamond"/>
          <w:b/>
          <w:bCs/>
          <w:color w:val="7030A0"/>
          <w:sz w:val="24"/>
          <w:szCs w:val="24"/>
        </w:rPr>
      </w:pPr>
      <w:r w:rsidRPr="006727B9">
        <w:rPr>
          <w:rFonts w:ascii="Garamond" w:hAnsi="Garamond"/>
          <w:b/>
          <w:bCs/>
          <w:color w:val="7030A0"/>
          <w:sz w:val="24"/>
          <w:szCs w:val="24"/>
        </w:rPr>
        <w:t>Tecnologias da Informação e Comunicação (TIC)</w:t>
      </w:r>
    </w:p>
    <w:p w14:paraId="3BCEBFFC" w14:textId="77777777" w:rsidR="00381F54" w:rsidRPr="006727B9" w:rsidRDefault="00381F54">
      <w:pPr>
        <w:spacing w:before="120" w:after="288" w:line="312" w:lineRule="auto"/>
        <w:ind w:left="708" w:firstLine="708"/>
        <w:jc w:val="center"/>
        <w:rPr>
          <w:rFonts w:ascii="Garamond" w:hAnsi="Garamond"/>
          <w:b/>
          <w:i/>
          <w:color w:val="FF0000"/>
          <w:sz w:val="24"/>
          <w:szCs w:val="24"/>
        </w:rPr>
      </w:pPr>
    </w:p>
    <w:p w14:paraId="05A7FC32" w14:textId="77777777" w:rsidR="00381F54" w:rsidRPr="006727B9" w:rsidRDefault="00000000">
      <w:pPr>
        <w:spacing w:before="120" w:after="288" w:line="312" w:lineRule="auto"/>
        <w:jc w:val="center"/>
        <w:rPr>
          <w:rFonts w:ascii="Garamond" w:eastAsia="Times New Roman" w:hAnsi="Garamond"/>
          <w:b/>
          <w:i/>
          <w:color w:val="FF0000"/>
          <w:sz w:val="24"/>
          <w:szCs w:val="24"/>
        </w:rPr>
      </w:pPr>
      <w:r w:rsidRPr="006727B9">
        <w:rPr>
          <w:rFonts w:ascii="Garamond" w:hAnsi="Garamond"/>
          <w:b/>
          <w:i/>
          <w:color w:val="FF0000"/>
          <w:sz w:val="24"/>
          <w:szCs w:val="24"/>
        </w:rPr>
        <w:t>ÓRGÃO OU ENTIDADE PÚBLICA</w:t>
      </w:r>
    </w:p>
    <w:p w14:paraId="1882AEE2" w14:textId="77777777" w:rsidR="00381F54" w:rsidRPr="006727B9" w:rsidRDefault="00000000">
      <w:pPr>
        <w:spacing w:before="120" w:after="288" w:line="312" w:lineRule="auto"/>
        <w:jc w:val="center"/>
        <w:rPr>
          <w:rFonts w:ascii="Garamond" w:hAnsi="Garamond"/>
          <w:bCs/>
          <w:color w:val="000000"/>
          <w:sz w:val="24"/>
          <w:szCs w:val="24"/>
        </w:rPr>
      </w:pPr>
      <w:r w:rsidRPr="006727B9">
        <w:rPr>
          <w:rFonts w:ascii="Garamond" w:hAnsi="Garamond"/>
          <w:color w:val="000000"/>
          <w:sz w:val="24"/>
          <w:szCs w:val="24"/>
        </w:rPr>
        <w:t>(Processo Administrativo n</w:t>
      </w:r>
      <w:r w:rsidRPr="006727B9">
        <w:rPr>
          <w:rFonts w:ascii="Garamond" w:hAnsi="Garamond"/>
          <w:bCs/>
          <w:color w:val="000000"/>
          <w:sz w:val="24"/>
          <w:szCs w:val="24"/>
        </w:rPr>
        <w:t>°...........)</w:t>
      </w:r>
    </w:p>
    <w:p w14:paraId="687BC7BA" w14:textId="77777777" w:rsidR="00381F54" w:rsidRPr="006727B9" w:rsidRDefault="00000000">
      <w:pPr>
        <w:pStyle w:val="Prembulo"/>
        <w:spacing w:before="120" w:after="288" w:line="312" w:lineRule="auto"/>
        <w:rPr>
          <w:rFonts w:ascii="Garamond" w:hAnsi="Garamond" w:cs="Times New Roman"/>
          <w:bCs w:val="0"/>
          <w:sz w:val="24"/>
          <w:szCs w:val="24"/>
        </w:rPr>
      </w:pPr>
      <w:r w:rsidRPr="006727B9">
        <w:rPr>
          <w:rFonts w:ascii="Garamond" w:hAnsi="Garamond" w:cs="Times New Roman"/>
          <w:bCs w:val="0"/>
          <w:sz w:val="24"/>
          <w:szCs w:val="24"/>
        </w:rPr>
        <w:t xml:space="preserve">CONTRATO ADMINISTRATIVO Nº ......../...., QUE FAZEM ENTRE SI O MUNICÍPIO DE NITERÓI POR INTERMÉDIO DO (A) ......................................................... E .............................................................  </w:t>
      </w:r>
    </w:p>
    <w:tbl>
      <w:tblPr>
        <w:tblStyle w:val="Tabelacomgrade"/>
        <w:tblW w:w="0" w:type="auto"/>
        <w:tblLook w:val="04A0" w:firstRow="1" w:lastRow="0" w:firstColumn="1" w:lastColumn="0" w:noHBand="0" w:noVBand="1"/>
      </w:tblPr>
      <w:tblGrid>
        <w:gridCol w:w="1084"/>
        <w:gridCol w:w="7976"/>
      </w:tblGrid>
      <w:tr w:rsidR="00381F54" w:rsidRPr="006727B9" w14:paraId="695557DB" w14:textId="77777777">
        <w:trPr>
          <w:trHeight w:val="385"/>
        </w:trPr>
        <w:tc>
          <w:tcPr>
            <w:tcW w:w="9268" w:type="dxa"/>
            <w:gridSpan w:val="2"/>
          </w:tcPr>
          <w:p w14:paraId="6FAA0A2D"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lastRenderedPageBreak/>
              <w:t xml:space="preserve">Notas explicativas </w:t>
            </w:r>
          </w:p>
        </w:tc>
      </w:tr>
      <w:tr w:rsidR="00381F54" w:rsidRPr="006727B9" w14:paraId="1BB5702D" w14:textId="77777777">
        <w:tc>
          <w:tcPr>
            <w:tcW w:w="1107" w:type="dxa"/>
          </w:tcPr>
          <w:p w14:paraId="0A1861FA" w14:textId="77777777" w:rsidR="00381F54" w:rsidRPr="006727B9" w:rsidRDefault="00381F54">
            <w:pPr>
              <w:pStyle w:val="Nivel01"/>
              <w:numPr>
                <w:ilvl w:val="0"/>
                <w:numId w:val="0"/>
              </w:numPr>
              <w:rPr>
                <w:rFonts w:ascii="Garamond" w:hAnsi="Garamond" w:cs="Times New Roman"/>
                <w:sz w:val="24"/>
                <w:szCs w:val="24"/>
              </w:rPr>
            </w:pPr>
          </w:p>
        </w:tc>
        <w:tc>
          <w:tcPr>
            <w:tcW w:w="8161" w:type="dxa"/>
          </w:tcPr>
          <w:p w14:paraId="64735922" w14:textId="77777777" w:rsidR="00381F54" w:rsidRPr="006727B9" w:rsidRDefault="00000000">
            <w:pPr>
              <w:spacing w:before="100" w:beforeAutospacing="1" w:after="100" w:afterAutospacing="1"/>
              <w:rPr>
                <w:rFonts w:ascii="Garamond" w:eastAsia="Times New Roman" w:hAnsi="Garamond"/>
                <w:i/>
                <w:iCs/>
                <w:sz w:val="24"/>
                <w:szCs w:val="24"/>
              </w:rPr>
            </w:pPr>
            <w:r w:rsidRPr="006727B9">
              <w:rPr>
                <w:rFonts w:ascii="Garamond" w:eastAsia="Times New Roman" w:hAnsi="Garamond"/>
                <w:b/>
                <w:bCs/>
                <w:i/>
                <w:iCs/>
                <w:sz w:val="24"/>
                <w:szCs w:val="24"/>
              </w:rPr>
              <w:t>1)</w:t>
            </w:r>
            <w:r w:rsidRPr="006727B9">
              <w:rPr>
                <w:rFonts w:ascii="Garamond" w:eastAsia="Times New Roman" w:hAnsi="Garamond"/>
                <w:i/>
                <w:iCs/>
                <w:sz w:val="24"/>
                <w:szCs w:val="24"/>
              </w:rPr>
              <w:t xml:space="preserve"> Esta minuta-padrão aplica-se exclusivamente às aquisições, assim consideradas pelo inciso X do artigo 6º da Lei nº 14.133, de 1º de abril de 2021.</w:t>
            </w:r>
          </w:p>
          <w:p w14:paraId="382F58B9" w14:textId="77777777" w:rsidR="00381F54" w:rsidRPr="006727B9" w:rsidRDefault="00000000">
            <w:pPr>
              <w:spacing w:before="100" w:beforeAutospacing="1" w:after="100" w:afterAutospacing="1"/>
              <w:rPr>
                <w:rFonts w:ascii="Garamond" w:eastAsia="Times New Roman" w:hAnsi="Garamond"/>
                <w:sz w:val="24"/>
                <w:szCs w:val="24"/>
              </w:rPr>
            </w:pPr>
            <w:r w:rsidRPr="006727B9">
              <w:rPr>
                <w:rFonts w:ascii="Garamond" w:eastAsia="Times New Roman" w:hAnsi="Garamond"/>
                <w:i/>
                <w:iCs/>
                <w:sz w:val="24"/>
                <w:szCs w:val="24"/>
              </w:rPr>
              <w:t xml:space="preserve">2) O presente modelo de Contrato procura fornecer um ponto de partida para a definição do objeto e condições da contratação. </w:t>
            </w:r>
            <w:r w:rsidRPr="006727B9">
              <w:rPr>
                <w:rFonts w:ascii="Garamond" w:eastAsia="Times New Roman" w:hAnsi="Garamond"/>
                <w:b/>
                <w:bCs/>
                <w:i/>
                <w:iCs/>
                <w:sz w:val="24"/>
                <w:szCs w:val="24"/>
              </w:rPr>
              <w:t>As cláusulas contidas nos modelos de minuta contratual, ao contrário do TR, foram feitas para sofrerem poucas alterações. No entanto, havendo a necessidade de modificações, é possível assim proceder.</w:t>
            </w:r>
          </w:p>
          <w:p w14:paraId="0B6B9637" w14:textId="77777777" w:rsidR="00381F54" w:rsidRPr="006727B9" w:rsidRDefault="00000000">
            <w:pPr>
              <w:spacing w:before="100" w:beforeAutospacing="1" w:after="100" w:afterAutospacing="1"/>
              <w:jc w:val="both"/>
              <w:rPr>
                <w:rFonts w:ascii="Garamond" w:eastAsia="Times New Roman" w:hAnsi="Garamond"/>
                <w:sz w:val="24"/>
                <w:szCs w:val="24"/>
              </w:rPr>
            </w:pPr>
            <w:r w:rsidRPr="006727B9">
              <w:rPr>
                <w:rFonts w:ascii="Garamond" w:eastAsia="Times New Roman" w:hAnsi="Garamond"/>
                <w:b/>
                <w:bCs/>
                <w:i/>
                <w:iCs/>
                <w:sz w:val="24"/>
                <w:szCs w:val="24"/>
              </w:rPr>
              <w:t>2)</w:t>
            </w:r>
            <w:r w:rsidRPr="006727B9">
              <w:rPr>
                <w:rFonts w:ascii="Garamond" w:eastAsia="Times New Roman" w:hAnsi="Garamond"/>
                <w:i/>
                <w:iCs/>
                <w:sz w:val="24"/>
                <w:szCs w:val="24"/>
              </w:rPr>
              <w:t xml:space="preserve"> A redação em preto consiste no que se espera ser invariável. Ela até pode sofrer modificações a depender do caso concreto, mas a diferença é que </w:t>
            </w:r>
            <w:r w:rsidRPr="006727B9">
              <w:rPr>
                <w:rFonts w:ascii="Garamond" w:eastAsia="Times New Roman" w:hAnsi="Garamond"/>
                <w:b/>
                <w:bCs/>
                <w:i/>
                <w:iCs/>
                <w:sz w:val="24"/>
                <w:szCs w:val="24"/>
              </w:rPr>
              <w:t>não são disposições feitas para variar</w:t>
            </w:r>
            <w:r w:rsidRPr="006727B9">
              <w:rPr>
                <w:rFonts w:ascii="Garamond" w:eastAsia="Times New Roman" w:hAnsi="Garamond"/>
                <w:i/>
                <w:iCs/>
                <w:sz w:val="24"/>
                <w:szCs w:val="24"/>
              </w:rPr>
              <w:t xml:space="preserve">. Por essa razão, </w:t>
            </w:r>
            <w:r w:rsidRPr="006727B9">
              <w:rPr>
                <w:rFonts w:ascii="Garamond" w:eastAsia="Times New Roman" w:hAnsi="Garamond"/>
                <w:b/>
                <w:bCs/>
                <w:i/>
                <w:iCs/>
                <w:sz w:val="24"/>
                <w:szCs w:val="24"/>
              </w:rPr>
              <w:t>quaisquer modificações nas partes em preto, sem marcação de itálico, devem necessariamente ser justificadas nos autos,</w:t>
            </w:r>
            <w:r w:rsidRPr="006727B9">
              <w:rPr>
                <w:rFonts w:ascii="Garamond" w:eastAsia="Times New Roman" w:hAnsi="Garamond"/>
                <w:i/>
                <w:iCs/>
                <w:sz w:val="24"/>
                <w:szCs w:val="24"/>
              </w:rPr>
              <w:t xml:space="preserve"> sem prejuízo de eventual consulta ao órgão de assessoramento jurídico respectivo, a depender da matéria.</w:t>
            </w:r>
          </w:p>
          <w:p w14:paraId="396E69C3" w14:textId="77777777" w:rsidR="00381F54" w:rsidRPr="006727B9" w:rsidRDefault="00000000">
            <w:pPr>
              <w:spacing w:before="100" w:beforeAutospacing="1" w:after="100" w:afterAutospacing="1"/>
              <w:rPr>
                <w:rFonts w:ascii="Garamond" w:eastAsia="Times New Roman" w:hAnsi="Garamond"/>
                <w:sz w:val="24"/>
                <w:szCs w:val="24"/>
              </w:rPr>
            </w:pPr>
            <w:r w:rsidRPr="006727B9">
              <w:rPr>
                <w:rFonts w:ascii="Garamond" w:eastAsia="Times New Roman" w:hAnsi="Garamond"/>
                <w:b/>
                <w:bCs/>
                <w:i/>
                <w:iCs/>
                <w:sz w:val="24"/>
                <w:szCs w:val="24"/>
              </w:rPr>
              <w:t>3)</w:t>
            </w:r>
            <w:r w:rsidRPr="006727B9">
              <w:rPr>
                <w:rFonts w:ascii="Garamond" w:eastAsia="Times New Roman" w:hAnsi="Garamond"/>
                <w:i/>
                <w:iCs/>
                <w:sz w:val="24"/>
                <w:szCs w:val="24"/>
              </w:rPr>
              <w:t xml:space="preserve"> </w:t>
            </w:r>
            <w:r w:rsidRPr="006727B9">
              <w:rPr>
                <w:rFonts w:ascii="Garamond" w:eastAsia="Times New Roman" w:hAnsi="Garamond"/>
                <w:i/>
                <w:iCs/>
                <w:color w:val="FF0000"/>
                <w:sz w:val="24"/>
                <w:szCs w:val="24"/>
              </w:rPr>
              <w:t>Os itens deste modelo destacados em vermelho itálico devem ser preenchidos ou adotados pelo órgão ou entidade pública contratante segundo critérios de oportunidade e conveniência</w:t>
            </w:r>
            <w:r w:rsidRPr="006727B9">
              <w:rPr>
                <w:rFonts w:ascii="Garamond" w:eastAsia="Times New Roman" w:hAnsi="Garamond"/>
                <w:i/>
                <w:iCs/>
                <w:sz w:val="24"/>
                <w:szCs w:val="24"/>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5BDC3701" w14:textId="77777777" w:rsidR="00381F54" w:rsidRPr="006727B9" w:rsidRDefault="00000000">
            <w:pPr>
              <w:spacing w:before="100" w:beforeAutospacing="1" w:after="100" w:afterAutospacing="1"/>
              <w:rPr>
                <w:rFonts w:ascii="Garamond" w:eastAsia="Times New Roman" w:hAnsi="Garamond"/>
                <w:b/>
                <w:bCs/>
                <w:i/>
                <w:iCs/>
                <w:sz w:val="24"/>
                <w:szCs w:val="24"/>
              </w:rPr>
            </w:pPr>
            <w:r w:rsidRPr="006727B9">
              <w:rPr>
                <w:rFonts w:ascii="Garamond" w:eastAsia="Times New Roman" w:hAnsi="Garamond"/>
                <w:b/>
                <w:bCs/>
                <w:i/>
                <w:iCs/>
                <w:sz w:val="24"/>
                <w:szCs w:val="24"/>
              </w:rPr>
              <w:t>4)</w:t>
            </w:r>
            <w:r w:rsidRPr="006727B9">
              <w:rPr>
                <w:rFonts w:ascii="Garamond" w:eastAsia="Times New Roman" w:hAnsi="Garamond"/>
                <w:i/>
                <w:iCs/>
                <w:sz w:val="24"/>
                <w:szCs w:val="24"/>
              </w:rPr>
              <w:t xml:space="preserve"> </w:t>
            </w:r>
            <w:r w:rsidRPr="006727B9">
              <w:rPr>
                <w:rFonts w:ascii="Garamond" w:eastAsia="Times New Roman" w:hAnsi="Garamond"/>
                <w:b/>
                <w:bCs/>
                <w:i/>
                <w:iCs/>
                <w:sz w:val="24"/>
                <w:szCs w:val="24"/>
              </w:rPr>
              <w:t xml:space="preserve">Alguns itens receberam </w:t>
            </w:r>
            <w:r w:rsidRPr="006727B9">
              <w:rPr>
                <w:rFonts w:ascii="Garamond" w:eastAsia="Times New Roman" w:hAnsi="Garamond"/>
                <w:b/>
                <w:bCs/>
                <w:i/>
                <w:iCs/>
                <w:sz w:val="24"/>
                <w:szCs w:val="24"/>
                <w:u w:val="single"/>
              </w:rPr>
              <w:t>notas explicativas</w:t>
            </w:r>
            <w:r w:rsidRPr="006727B9">
              <w:rPr>
                <w:rFonts w:ascii="Garamond" w:eastAsia="Times New Roman" w:hAnsi="Garamond"/>
                <w:b/>
                <w:bCs/>
                <w:i/>
                <w:iCs/>
                <w:sz w:val="24"/>
                <w:szCs w:val="24"/>
              </w:rPr>
              <w:t xml:space="preserve"> em negrito, destacadas para compreensão do agente ou setor responsável pela elaboração da Minuta Contratual</w:t>
            </w:r>
            <w:r w:rsidRPr="006727B9">
              <w:rPr>
                <w:rFonts w:ascii="Garamond" w:eastAsia="Times New Roman" w:hAnsi="Garamond"/>
                <w:i/>
                <w:iCs/>
                <w:sz w:val="24"/>
                <w:szCs w:val="24"/>
              </w:rPr>
              <w:t xml:space="preserve">, </w:t>
            </w:r>
            <w:r w:rsidRPr="006727B9">
              <w:rPr>
                <w:rFonts w:ascii="Garamond" w:eastAsia="Times New Roman" w:hAnsi="Garamond"/>
                <w:b/>
                <w:bCs/>
                <w:i/>
                <w:iCs/>
                <w:sz w:val="24"/>
                <w:szCs w:val="24"/>
                <w:u w:val="single"/>
              </w:rPr>
              <w:t>que deverão ser devidamente suprimidas ao se finalizar o documento na versão original</w:t>
            </w:r>
            <w:r w:rsidRPr="006727B9">
              <w:rPr>
                <w:rFonts w:ascii="Garamond" w:eastAsia="Times New Roman" w:hAnsi="Garamond"/>
                <w:b/>
                <w:bCs/>
                <w:i/>
                <w:iCs/>
                <w:sz w:val="24"/>
                <w:szCs w:val="24"/>
              </w:rPr>
              <w:t xml:space="preserve">. </w:t>
            </w:r>
          </w:p>
          <w:p w14:paraId="2A37010C" w14:textId="77777777" w:rsidR="00381F54" w:rsidRPr="006727B9" w:rsidRDefault="00000000">
            <w:pPr>
              <w:spacing w:before="100" w:beforeAutospacing="1" w:after="100" w:afterAutospacing="1"/>
              <w:rPr>
                <w:rFonts w:ascii="Garamond" w:eastAsia="Times New Roman" w:hAnsi="Garamond"/>
                <w:b/>
                <w:bCs/>
                <w:sz w:val="24"/>
                <w:szCs w:val="24"/>
              </w:rPr>
            </w:pPr>
            <w:r w:rsidRPr="006727B9">
              <w:rPr>
                <w:rFonts w:ascii="Garamond" w:eastAsia="Times New Roman" w:hAnsi="Garamond"/>
                <w:b/>
                <w:bCs/>
                <w:i/>
                <w:iCs/>
                <w:sz w:val="24"/>
                <w:szCs w:val="24"/>
              </w:rPr>
              <w:t>5)</w:t>
            </w:r>
            <w:r w:rsidRPr="006727B9">
              <w:rPr>
                <w:rFonts w:ascii="Garamond" w:hAnsi="Garamond"/>
                <w:sz w:val="24"/>
                <w:szCs w:val="24"/>
              </w:rPr>
              <w:t xml:space="preserve"> </w:t>
            </w:r>
            <w:r w:rsidRPr="006727B9">
              <w:rPr>
                <w:rFonts w:ascii="Garamond" w:eastAsia="Times New Roman" w:hAnsi="Garamond"/>
                <w:b/>
                <w:bCs/>
                <w:i/>
                <w:iCs/>
                <w:sz w:val="24"/>
                <w:szCs w:val="24"/>
              </w:rPr>
              <w:t>Quando utilizada a expressão OU na minuta, em vermelho, deverá o agente ou setor responsável pela sua elaboração optar por uma das alternativas, excluindo as demais.</w:t>
            </w:r>
          </w:p>
          <w:p w14:paraId="1B30017A" w14:textId="77777777" w:rsidR="00381F54" w:rsidRPr="006727B9" w:rsidRDefault="00381F54">
            <w:pPr>
              <w:spacing w:before="100" w:beforeAutospacing="1" w:after="100" w:afterAutospacing="1"/>
              <w:rPr>
                <w:rFonts w:ascii="Garamond" w:hAnsi="Garamond"/>
                <w:i/>
                <w:iCs/>
                <w:sz w:val="24"/>
                <w:szCs w:val="24"/>
              </w:rPr>
            </w:pPr>
          </w:p>
        </w:tc>
      </w:tr>
    </w:tbl>
    <w:p w14:paraId="1A9D336F" w14:textId="77777777" w:rsidR="00381F54" w:rsidRPr="006727B9" w:rsidRDefault="00381F54">
      <w:pPr>
        <w:pStyle w:val="Prembulo"/>
        <w:spacing w:before="120" w:after="288" w:line="312" w:lineRule="auto"/>
        <w:ind w:left="0"/>
        <w:rPr>
          <w:rFonts w:ascii="Garamond" w:hAnsi="Garamond" w:cs="Times New Roman"/>
          <w:bCs w:val="0"/>
          <w:sz w:val="24"/>
          <w:szCs w:val="24"/>
        </w:rPr>
      </w:pPr>
    </w:p>
    <w:p w14:paraId="1BCAEEEF" w14:textId="77777777" w:rsidR="00381F54" w:rsidRPr="006727B9" w:rsidRDefault="00000000">
      <w:pPr>
        <w:spacing w:before="120" w:after="120" w:line="276" w:lineRule="auto"/>
        <w:ind w:firstLine="1418"/>
        <w:jc w:val="both"/>
        <w:rPr>
          <w:rFonts w:ascii="Garamond" w:eastAsia="Arial" w:hAnsi="Garamond"/>
          <w:sz w:val="24"/>
          <w:szCs w:val="24"/>
        </w:rPr>
      </w:pPr>
      <w:r w:rsidRPr="006727B9">
        <w:rPr>
          <w:rFonts w:ascii="Garamond" w:eastAsia="Arial" w:hAnsi="Garamond"/>
          <w:i/>
          <w:iCs/>
          <w:color w:val="FF0000"/>
          <w:sz w:val="24"/>
          <w:szCs w:val="24"/>
        </w:rPr>
        <w:t>O Município de Niterói / Autarquia ....... / Fundação ......., (utilizar a menção ao Município de Niterói somente se for órgão da Administração Direta, caso contrário incluir o nome da autarquia ou fundação conforme o caso</w:t>
      </w:r>
      <w:r w:rsidRPr="006727B9">
        <w:rPr>
          <w:rFonts w:ascii="Garamond" w:eastAsia="Arial" w:hAnsi="Garamond"/>
          <w:color w:val="FF0000"/>
          <w:sz w:val="24"/>
          <w:szCs w:val="24"/>
        </w:rPr>
        <w:t>) por intermédio do(a) .................................... (</w:t>
      </w:r>
      <w:r w:rsidRPr="006727B9">
        <w:rPr>
          <w:rFonts w:ascii="Garamond" w:eastAsia="Arial" w:hAnsi="Garamond"/>
          <w:i/>
          <w:iCs/>
          <w:color w:val="FF0000"/>
          <w:sz w:val="24"/>
          <w:szCs w:val="24"/>
        </w:rPr>
        <w:t>órgão contratante</w:t>
      </w:r>
      <w:r w:rsidRPr="006727B9">
        <w:rPr>
          <w:rFonts w:ascii="Garamond" w:eastAsia="Arial" w:hAnsi="Garamond"/>
          <w:color w:val="FF0000"/>
          <w:sz w:val="24"/>
          <w:szCs w:val="24"/>
        </w:rPr>
        <w:t>)</w:t>
      </w:r>
      <w:r w:rsidRPr="006727B9">
        <w:rPr>
          <w:rFonts w:ascii="Garamond" w:eastAsia="Arial" w:hAnsi="Garamond"/>
          <w:sz w:val="24"/>
          <w:szCs w:val="24"/>
        </w:rPr>
        <w:t xml:space="preserve">, com sede no(a) </w:t>
      </w:r>
      <w:r w:rsidRPr="006727B9">
        <w:rPr>
          <w:rFonts w:ascii="Garamond" w:eastAsia="Arial" w:hAnsi="Garamond"/>
          <w:color w:val="FF0000"/>
          <w:sz w:val="24"/>
          <w:szCs w:val="24"/>
        </w:rPr>
        <w:t>.....................................................</w:t>
      </w:r>
      <w:r w:rsidRPr="006727B9">
        <w:rPr>
          <w:rFonts w:ascii="Garamond" w:eastAsia="Arial" w:hAnsi="Garamond"/>
          <w:sz w:val="24"/>
          <w:szCs w:val="24"/>
        </w:rPr>
        <w:t xml:space="preserve">, na cidade de </w:t>
      </w:r>
      <w:r w:rsidRPr="006727B9">
        <w:rPr>
          <w:rFonts w:ascii="Garamond" w:eastAsia="Arial" w:hAnsi="Garamond"/>
          <w:color w:val="FF0000"/>
          <w:sz w:val="24"/>
          <w:szCs w:val="24"/>
        </w:rPr>
        <w:t>......................................</w:t>
      </w:r>
      <w:r w:rsidRPr="006727B9">
        <w:rPr>
          <w:rFonts w:ascii="Garamond" w:eastAsia="Arial" w:hAnsi="Garamond"/>
          <w:sz w:val="24"/>
          <w:szCs w:val="24"/>
        </w:rPr>
        <w:t xml:space="preserve"> /Estado </w:t>
      </w:r>
      <w:r w:rsidRPr="006727B9">
        <w:rPr>
          <w:rFonts w:ascii="Garamond" w:eastAsia="Arial" w:hAnsi="Garamond"/>
          <w:color w:val="FF0000"/>
          <w:sz w:val="24"/>
          <w:szCs w:val="24"/>
        </w:rPr>
        <w:t>...</w:t>
      </w:r>
      <w:r w:rsidRPr="006727B9">
        <w:rPr>
          <w:rFonts w:ascii="Garamond" w:eastAsia="Arial" w:hAnsi="Garamond"/>
          <w:sz w:val="24"/>
          <w:szCs w:val="24"/>
        </w:rPr>
        <w:t xml:space="preserve">, inscrito(a) no CNPJ sob o nº </w:t>
      </w:r>
      <w:r w:rsidRPr="006727B9">
        <w:rPr>
          <w:rFonts w:ascii="Garamond" w:eastAsia="Arial" w:hAnsi="Garamond"/>
          <w:color w:val="FF0000"/>
          <w:sz w:val="24"/>
          <w:szCs w:val="24"/>
        </w:rPr>
        <w:t>................................</w:t>
      </w:r>
      <w:r w:rsidRPr="006727B9">
        <w:rPr>
          <w:rFonts w:ascii="Garamond" w:eastAsia="Arial" w:hAnsi="Garamond"/>
          <w:sz w:val="24"/>
          <w:szCs w:val="24"/>
        </w:rPr>
        <w:t xml:space="preserve">, neste ato representado(a) pelo(a) </w:t>
      </w:r>
      <w:r w:rsidRPr="006727B9">
        <w:rPr>
          <w:rFonts w:ascii="Garamond" w:eastAsia="Arial" w:hAnsi="Garamond"/>
          <w:color w:val="FF0000"/>
          <w:sz w:val="24"/>
          <w:szCs w:val="24"/>
        </w:rPr>
        <w:t>......................... (</w:t>
      </w:r>
      <w:r w:rsidRPr="006727B9">
        <w:rPr>
          <w:rFonts w:ascii="Garamond" w:eastAsia="Arial" w:hAnsi="Garamond"/>
          <w:i/>
          <w:iCs/>
          <w:color w:val="FF0000"/>
          <w:sz w:val="24"/>
          <w:szCs w:val="24"/>
        </w:rPr>
        <w:t>cargo e nome</w:t>
      </w:r>
      <w:r w:rsidRPr="006727B9">
        <w:rPr>
          <w:rFonts w:ascii="Garamond" w:eastAsia="Arial" w:hAnsi="Garamond"/>
          <w:color w:val="FF0000"/>
          <w:sz w:val="24"/>
          <w:szCs w:val="24"/>
        </w:rPr>
        <w:t>)</w:t>
      </w:r>
      <w:r w:rsidRPr="006727B9">
        <w:rPr>
          <w:rFonts w:ascii="Garamond" w:eastAsia="Arial" w:hAnsi="Garamond"/>
          <w:sz w:val="24"/>
          <w:szCs w:val="24"/>
        </w:rPr>
        <w:t xml:space="preserve">, portador da Matrícula Funcional nº .........., doravante denominado CONTRATANTE, e o(a) </w:t>
      </w:r>
      <w:r w:rsidRPr="006727B9">
        <w:rPr>
          <w:rFonts w:ascii="Garamond" w:eastAsia="Arial" w:hAnsi="Garamond"/>
          <w:color w:val="FF0000"/>
          <w:sz w:val="24"/>
          <w:szCs w:val="24"/>
        </w:rPr>
        <w:t>..............................,</w:t>
      </w:r>
      <w:r w:rsidRPr="006727B9">
        <w:rPr>
          <w:rFonts w:ascii="Garamond" w:eastAsia="Arial" w:hAnsi="Garamond"/>
          <w:sz w:val="24"/>
          <w:szCs w:val="24"/>
        </w:rPr>
        <w:t xml:space="preserve"> </w:t>
      </w:r>
      <w:r w:rsidRPr="006727B9">
        <w:rPr>
          <w:rFonts w:ascii="Garamond" w:eastAsia="Arial" w:hAnsi="Garamond"/>
          <w:i/>
          <w:iCs/>
          <w:color w:val="FF0000"/>
          <w:sz w:val="24"/>
          <w:szCs w:val="24"/>
        </w:rPr>
        <w:t>inscrito(a) no CNPJ/MF sob o nº ............................, sediado(a) na</w:t>
      </w:r>
      <w:r w:rsidRPr="006727B9">
        <w:rPr>
          <w:rFonts w:ascii="Garamond" w:eastAsia="Arial" w:hAnsi="Garamond"/>
          <w:sz w:val="24"/>
          <w:szCs w:val="24"/>
        </w:rPr>
        <w:t xml:space="preserve"> </w:t>
      </w:r>
      <w:r w:rsidRPr="006727B9">
        <w:rPr>
          <w:rFonts w:ascii="Garamond" w:eastAsia="Arial" w:hAnsi="Garamond"/>
          <w:color w:val="FF0000"/>
          <w:sz w:val="24"/>
          <w:szCs w:val="24"/>
        </w:rPr>
        <w:t>...................................</w:t>
      </w:r>
      <w:r w:rsidRPr="006727B9">
        <w:rPr>
          <w:rFonts w:ascii="Garamond" w:eastAsia="Arial" w:hAnsi="Garamond"/>
          <w:sz w:val="24"/>
          <w:szCs w:val="24"/>
        </w:rPr>
        <w:t xml:space="preserve">, doravante designado CONTRATADO, </w:t>
      </w:r>
      <w:r w:rsidRPr="006727B9">
        <w:rPr>
          <w:rFonts w:ascii="Garamond" w:eastAsia="Arial" w:hAnsi="Garamond"/>
          <w:i/>
          <w:iCs/>
          <w:color w:val="FF0000"/>
          <w:sz w:val="24"/>
          <w:szCs w:val="24"/>
        </w:rPr>
        <w:t>neste ato representado(a) por</w:t>
      </w:r>
      <w:r w:rsidRPr="006727B9">
        <w:rPr>
          <w:rFonts w:ascii="Garamond" w:eastAsia="Arial" w:hAnsi="Garamond"/>
          <w:color w:val="FF0000"/>
          <w:sz w:val="24"/>
          <w:szCs w:val="24"/>
        </w:rPr>
        <w:t xml:space="preserve"> </w:t>
      </w:r>
      <w:r w:rsidRPr="006727B9">
        <w:rPr>
          <w:rFonts w:ascii="Garamond" w:eastAsia="Arial" w:hAnsi="Garamond"/>
          <w:sz w:val="24"/>
          <w:szCs w:val="24"/>
        </w:rPr>
        <w:t xml:space="preserve">.................................. </w:t>
      </w:r>
      <w:r w:rsidRPr="006727B9">
        <w:rPr>
          <w:rFonts w:ascii="Garamond" w:eastAsia="Arial" w:hAnsi="Garamond"/>
          <w:color w:val="FF0000"/>
          <w:sz w:val="24"/>
          <w:szCs w:val="24"/>
        </w:rPr>
        <w:t>(nome e função no contratado)</w:t>
      </w:r>
      <w:r w:rsidRPr="006727B9">
        <w:rPr>
          <w:rFonts w:ascii="Garamond" w:eastAsia="Arial" w:hAnsi="Garamond"/>
          <w:sz w:val="24"/>
          <w:szCs w:val="24"/>
        </w:rPr>
        <w:t xml:space="preserve">, </w:t>
      </w:r>
      <w:r w:rsidRPr="006727B9">
        <w:rPr>
          <w:rFonts w:ascii="Garamond" w:eastAsia="Arial" w:hAnsi="Garamond"/>
          <w:i/>
          <w:iCs/>
          <w:color w:val="FF0000"/>
          <w:sz w:val="24"/>
          <w:szCs w:val="24"/>
        </w:rPr>
        <w:t xml:space="preserve">conforme atos constitutivos da empresa </w:t>
      </w:r>
      <w:r w:rsidRPr="006727B9">
        <w:rPr>
          <w:rFonts w:ascii="Garamond" w:eastAsia="Arial" w:hAnsi="Garamond"/>
          <w:b/>
          <w:bCs/>
          <w:i/>
          <w:iCs/>
          <w:color w:val="FF0000"/>
          <w:sz w:val="24"/>
          <w:szCs w:val="24"/>
        </w:rPr>
        <w:t>OU</w:t>
      </w:r>
      <w:r w:rsidRPr="006727B9">
        <w:rPr>
          <w:rFonts w:ascii="Garamond" w:eastAsia="Arial" w:hAnsi="Garamond"/>
          <w:i/>
          <w:iCs/>
          <w:color w:val="FF0000"/>
          <w:sz w:val="24"/>
          <w:szCs w:val="24"/>
        </w:rPr>
        <w:t xml:space="preserve"> procuração apresentada nos autos, </w:t>
      </w:r>
      <w:r w:rsidRPr="006727B9">
        <w:rPr>
          <w:rFonts w:ascii="Garamond" w:eastAsia="Arial" w:hAnsi="Garamond"/>
          <w:sz w:val="24"/>
          <w:szCs w:val="24"/>
        </w:rPr>
        <w:t xml:space="preserve">tendo em vista o que consta no Processo nº </w:t>
      </w:r>
      <w:r w:rsidRPr="006727B9">
        <w:rPr>
          <w:rFonts w:ascii="Garamond" w:eastAsia="Arial" w:hAnsi="Garamond"/>
          <w:color w:val="FF0000"/>
          <w:sz w:val="24"/>
          <w:szCs w:val="24"/>
        </w:rPr>
        <w:t xml:space="preserve">.............................. </w:t>
      </w:r>
      <w:r w:rsidRPr="006727B9">
        <w:rPr>
          <w:rFonts w:ascii="Garamond" w:eastAsia="Arial" w:hAnsi="Garamond"/>
          <w:sz w:val="24"/>
          <w:szCs w:val="24"/>
        </w:rPr>
        <w:t xml:space="preserve">e em observância às disposições da Lei Federal </w:t>
      </w:r>
      <w:r w:rsidRPr="006727B9">
        <w:rPr>
          <w:rFonts w:ascii="Garamond" w:eastAsia="Arial" w:hAnsi="Garamond"/>
          <w:sz w:val="24"/>
          <w:szCs w:val="24"/>
        </w:rPr>
        <w:lastRenderedPageBreak/>
        <w:t xml:space="preserve">nº 14.133, de 1º de abril de 2021, Decreto Municipal nº 14.730, de 13 de fevereiro de 2023 e Decreto Municipal nº 15.588, de 23 de outubro de 2024, e demais legislação aplicável, resolvem celebrar o presente Termo de Contrato, decorrente </w:t>
      </w:r>
      <w:r w:rsidRPr="006727B9">
        <w:rPr>
          <w:rFonts w:ascii="Garamond" w:eastAsia="Arial" w:hAnsi="Garamond"/>
          <w:i/>
          <w:iCs/>
          <w:color w:val="FF0000"/>
          <w:sz w:val="24"/>
          <w:szCs w:val="24"/>
        </w:rPr>
        <w:t>do Pregão Eletrônico n. .../...</w:t>
      </w:r>
      <w:r w:rsidRPr="006727B9">
        <w:rPr>
          <w:rFonts w:ascii="Garamond" w:eastAsia="Arial" w:hAnsi="Garamond"/>
          <w:sz w:val="24"/>
          <w:szCs w:val="24"/>
        </w:rPr>
        <w:t>, mediante as cláusulas e condições a seguir enunciadas.</w:t>
      </w:r>
    </w:p>
    <w:p w14:paraId="533D16D9" w14:textId="77777777" w:rsidR="00381F54" w:rsidRPr="006727B9" w:rsidRDefault="00381F54">
      <w:pPr>
        <w:spacing w:before="120" w:after="120" w:line="276" w:lineRule="auto"/>
        <w:ind w:firstLine="1418"/>
        <w:jc w:val="both"/>
        <w:rPr>
          <w:rFonts w:ascii="Garamond" w:eastAsia="Arial" w:hAnsi="Garamond"/>
          <w:sz w:val="24"/>
          <w:szCs w:val="24"/>
        </w:rPr>
      </w:pPr>
    </w:p>
    <w:p w14:paraId="69A25C5E" w14:textId="77777777" w:rsidR="00381F54" w:rsidRPr="006727B9" w:rsidRDefault="00000000">
      <w:pPr>
        <w:pStyle w:val="Nivel01"/>
        <w:numPr>
          <w:ilvl w:val="0"/>
          <w:numId w:val="5"/>
        </w:numPr>
        <w:tabs>
          <w:tab w:val="num" w:pos="360"/>
        </w:tabs>
        <w:ind w:left="1080" w:hanging="720"/>
        <w:rPr>
          <w:rFonts w:ascii="Garamond" w:hAnsi="Garamond" w:cs="Times New Roman"/>
          <w:color w:val="FFFFFF" w:themeColor="background1"/>
          <w:sz w:val="24"/>
          <w:szCs w:val="24"/>
        </w:rPr>
      </w:pPr>
      <w:r w:rsidRPr="006727B9">
        <w:rPr>
          <w:rFonts w:ascii="Garamond" w:hAnsi="Garamond" w:cs="Times New Roman"/>
          <w:sz w:val="24"/>
          <w:szCs w:val="24"/>
        </w:rPr>
        <w:t>CLÁUSULA PRIMEIRA – OBJETO (</w:t>
      </w:r>
      <w:hyperlink r:id="rId8" w:anchor="art92" w:tooltip="http://www.planalto.gov.br/ccivil_03/_ato2019-2022/2021/lei/L14133.htm#art92" w:history="1">
        <w:r w:rsidR="00381F54" w:rsidRPr="006727B9">
          <w:rPr>
            <w:rStyle w:val="Hyperlink"/>
            <w:rFonts w:ascii="Garamond" w:hAnsi="Garamond" w:cs="Times New Roman"/>
            <w:sz w:val="24"/>
            <w:szCs w:val="24"/>
          </w:rPr>
          <w:t>art. 92, I e II</w:t>
        </w:r>
      </w:hyperlink>
      <w:r w:rsidRPr="006727B9">
        <w:rPr>
          <w:rFonts w:ascii="Garamond" w:hAnsi="Garamond" w:cs="Times New Roman"/>
          <w:sz w:val="24"/>
          <w:szCs w:val="24"/>
        </w:rPr>
        <w:t>)</w:t>
      </w:r>
    </w:p>
    <w:p w14:paraId="14BE84AD"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O objeto do presente instrumento é a contratação de solução de tecnologia da informação e comunicação de </w:t>
      </w:r>
      <w:r w:rsidRPr="006727B9">
        <w:rPr>
          <w:rFonts w:ascii="Garamond" w:hAnsi="Garamond" w:cs="Times New Roman"/>
          <w:color w:val="FF0000"/>
          <w:sz w:val="24"/>
          <w:szCs w:val="24"/>
        </w:rPr>
        <w:t>..........................</w:t>
      </w:r>
      <w:r w:rsidRPr="006727B9">
        <w:rPr>
          <w:rFonts w:ascii="Garamond" w:hAnsi="Garamond" w:cs="Times New Roman"/>
          <w:sz w:val="24"/>
          <w:szCs w:val="24"/>
        </w:rPr>
        <w:t>, nas condições estabelecidas no Termo de Referência.</w:t>
      </w:r>
    </w:p>
    <w:tbl>
      <w:tblPr>
        <w:tblStyle w:val="Tabelacomgrade"/>
        <w:tblW w:w="0" w:type="auto"/>
        <w:tblLook w:val="04A0" w:firstRow="1" w:lastRow="0" w:firstColumn="1" w:lastColumn="0" w:noHBand="0" w:noVBand="1"/>
      </w:tblPr>
      <w:tblGrid>
        <w:gridCol w:w="1132"/>
        <w:gridCol w:w="7928"/>
      </w:tblGrid>
      <w:tr w:rsidR="00381F54" w:rsidRPr="006727B9" w14:paraId="23522A27" w14:textId="77777777">
        <w:trPr>
          <w:trHeight w:val="385"/>
        </w:trPr>
        <w:tc>
          <w:tcPr>
            <w:tcW w:w="9832" w:type="dxa"/>
            <w:gridSpan w:val="2"/>
          </w:tcPr>
          <w:p w14:paraId="6BF4A45B"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3102D46D" w14:textId="77777777">
        <w:tc>
          <w:tcPr>
            <w:tcW w:w="1195" w:type="dxa"/>
          </w:tcPr>
          <w:p w14:paraId="2227CDA5"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1.2</w:t>
            </w:r>
          </w:p>
        </w:tc>
        <w:tc>
          <w:tcPr>
            <w:tcW w:w="8637" w:type="dxa"/>
          </w:tcPr>
          <w:p w14:paraId="6C09049C" w14:textId="77777777" w:rsidR="00381F54" w:rsidRPr="006727B9" w:rsidRDefault="00000000">
            <w:pPr>
              <w:pStyle w:val="pf0"/>
              <w:rPr>
                <w:rFonts w:ascii="Garamond" w:hAnsi="Garamond"/>
                <w:i/>
                <w:iCs/>
              </w:rPr>
            </w:pPr>
            <w:r w:rsidRPr="006727B9">
              <w:rPr>
                <w:rStyle w:val="cf01"/>
                <w:rFonts w:ascii="Garamond" w:hAnsi="Garamond" w:cs="Times New Roman"/>
                <w:sz w:val="24"/>
                <w:szCs w:val="24"/>
              </w:rPr>
              <w:t>Esta tabela é meramente ilustrativa, devendo ser ajustada conforme o caso concreto.</w:t>
            </w:r>
          </w:p>
        </w:tc>
      </w:tr>
    </w:tbl>
    <w:p w14:paraId="549C27E6" w14:textId="77777777" w:rsidR="00381F54" w:rsidRPr="006727B9" w:rsidRDefault="00381F54">
      <w:pPr>
        <w:pStyle w:val="Nivel2"/>
        <w:numPr>
          <w:ilvl w:val="0"/>
          <w:numId w:val="0"/>
        </w:numPr>
        <w:rPr>
          <w:rFonts w:ascii="Garamond" w:hAnsi="Garamond" w:cs="Times New Roman"/>
          <w:sz w:val="24"/>
          <w:szCs w:val="24"/>
        </w:rPr>
      </w:pPr>
    </w:p>
    <w:p w14:paraId="05B37548"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Objeto da contratação:</w:t>
      </w:r>
    </w:p>
    <w:tbl>
      <w:tblPr>
        <w:tblW w:w="9498" w:type="dxa"/>
        <w:tblInd w:w="-5" w:type="dxa"/>
        <w:tblLayout w:type="fixed"/>
        <w:tblLook w:val="04A0" w:firstRow="1" w:lastRow="0" w:firstColumn="1" w:lastColumn="0" w:noHBand="0" w:noVBand="1"/>
      </w:tblPr>
      <w:tblGrid>
        <w:gridCol w:w="993"/>
        <w:gridCol w:w="2268"/>
        <w:gridCol w:w="1277"/>
        <w:gridCol w:w="1274"/>
        <w:gridCol w:w="1418"/>
        <w:gridCol w:w="1279"/>
        <w:gridCol w:w="989"/>
      </w:tblGrid>
      <w:tr w:rsidR="00381F54" w:rsidRPr="006727B9" w14:paraId="5B2708B3" w14:textId="77777777" w:rsidTr="007225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6ECA6" w14:textId="77777777" w:rsidR="00381F54" w:rsidRPr="006727B9" w:rsidRDefault="00000000">
            <w:pPr>
              <w:widowControl w:val="0"/>
              <w:spacing w:before="120" w:after="288" w:line="312" w:lineRule="auto"/>
              <w:jc w:val="center"/>
              <w:rPr>
                <w:rFonts w:ascii="Garamond" w:eastAsia="Arial" w:hAnsi="Garamond"/>
                <w:b/>
                <w:bCs/>
                <w:color w:val="000000"/>
              </w:rPr>
            </w:pPr>
            <w:r w:rsidRPr="006727B9">
              <w:rPr>
                <w:rFonts w:ascii="Garamond" w:eastAsia="Arial" w:hAnsi="Garamond"/>
                <w:b/>
                <w:bCs/>
                <w:color w:val="000000" w:themeColor="text1"/>
              </w:rPr>
              <w:t>ITEM</w:t>
            </w:r>
          </w:p>
          <w:p w14:paraId="2ED17D90" w14:textId="77777777" w:rsidR="00381F54" w:rsidRPr="006727B9" w:rsidRDefault="00381F54">
            <w:pPr>
              <w:widowControl w:val="0"/>
              <w:spacing w:before="120" w:after="288" w:line="312" w:lineRule="auto"/>
              <w:jc w:val="center"/>
              <w:rPr>
                <w:rFonts w:ascii="Garamond" w:eastAsia="Arial" w:hAnsi="Garamond"/>
                <w:b/>
                <w:bCs/>
                <w:color w:val="00000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ACE50" w14:textId="77777777" w:rsidR="00381F54" w:rsidRPr="006727B9" w:rsidRDefault="00000000">
            <w:pPr>
              <w:widowControl w:val="0"/>
              <w:spacing w:before="120" w:after="288" w:line="312" w:lineRule="auto"/>
              <w:jc w:val="center"/>
              <w:rPr>
                <w:rFonts w:ascii="Garamond" w:eastAsia="Arial" w:hAnsi="Garamond"/>
                <w:color w:val="000000"/>
              </w:rPr>
            </w:pPr>
            <w:r w:rsidRPr="006727B9">
              <w:rPr>
                <w:rFonts w:ascii="Garamond" w:eastAsia="Arial" w:hAnsi="Garamond"/>
                <w:b/>
                <w:bCs/>
                <w:color w:val="000000" w:themeColor="text1"/>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9941A" w14:textId="77777777" w:rsidR="00381F54" w:rsidRPr="006727B9" w:rsidRDefault="00000000">
            <w:pPr>
              <w:widowControl w:val="0"/>
              <w:spacing w:before="120" w:after="288" w:line="312" w:lineRule="auto"/>
              <w:jc w:val="center"/>
              <w:rPr>
                <w:rFonts w:ascii="Garamond" w:eastAsia="Arial" w:hAnsi="Garamond"/>
                <w:color w:val="000000"/>
              </w:rPr>
            </w:pPr>
            <w:r w:rsidRPr="006727B9">
              <w:rPr>
                <w:rFonts w:ascii="Garamond" w:eastAsia="Arial" w:hAnsi="Garamond"/>
                <w:b/>
                <w:bCs/>
                <w:color w:val="000000" w:themeColor="text1"/>
              </w:rPr>
              <w:t>CATMAT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7666" w14:textId="77777777" w:rsidR="00381F54" w:rsidRPr="006727B9" w:rsidRDefault="00000000">
            <w:pPr>
              <w:widowControl w:val="0"/>
              <w:spacing w:before="120" w:after="288" w:line="312" w:lineRule="auto"/>
              <w:jc w:val="center"/>
              <w:rPr>
                <w:rFonts w:ascii="Garamond" w:eastAsia="Arial" w:hAnsi="Garamond"/>
                <w:color w:val="000000"/>
              </w:rPr>
            </w:pPr>
            <w:r w:rsidRPr="006727B9">
              <w:rPr>
                <w:rFonts w:ascii="Garamond" w:eastAsia="Arial" w:hAnsi="Garamond"/>
                <w:b/>
                <w:bCs/>
                <w:color w:val="000000" w:themeColor="text1"/>
              </w:rPr>
              <w:t>UNIDADE DE MEDIDA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1EF6F" w14:textId="77777777" w:rsidR="00381F54" w:rsidRPr="006727B9" w:rsidRDefault="00000000">
            <w:pPr>
              <w:widowControl w:val="0"/>
              <w:spacing w:before="120" w:after="288" w:line="312" w:lineRule="auto"/>
              <w:jc w:val="center"/>
              <w:rPr>
                <w:rFonts w:ascii="Garamond" w:eastAsia="Arial" w:hAnsi="Garamond"/>
                <w:b/>
                <w:bCs/>
              </w:rPr>
            </w:pPr>
            <w:r w:rsidRPr="006727B9">
              <w:rPr>
                <w:rFonts w:ascii="Garamond" w:eastAsia="Arial" w:hAnsi="Garamond"/>
                <w:b/>
                <w:bCs/>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B60FF" w14:textId="77777777" w:rsidR="00381F54" w:rsidRPr="006727B9" w:rsidRDefault="00000000">
            <w:pPr>
              <w:widowControl w:val="0"/>
              <w:spacing w:before="120" w:after="288" w:line="312" w:lineRule="auto"/>
              <w:jc w:val="center"/>
              <w:rPr>
                <w:rFonts w:ascii="Garamond" w:eastAsia="Arial" w:hAnsi="Garamond"/>
                <w:b/>
                <w:bCs/>
              </w:rPr>
            </w:pPr>
            <w:r w:rsidRPr="006727B9">
              <w:rPr>
                <w:rFonts w:ascii="Garamond" w:eastAsia="Arial" w:hAnsi="Garamond"/>
                <w:b/>
                <w:bCs/>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4F139" w14:textId="77777777" w:rsidR="00381F54" w:rsidRPr="006727B9" w:rsidRDefault="00000000">
            <w:pPr>
              <w:widowControl w:val="0"/>
              <w:spacing w:before="120" w:after="288" w:line="312" w:lineRule="auto"/>
              <w:jc w:val="center"/>
              <w:rPr>
                <w:rFonts w:ascii="Garamond" w:eastAsia="Arial" w:hAnsi="Garamond"/>
                <w:b/>
                <w:bCs/>
              </w:rPr>
            </w:pPr>
            <w:r w:rsidRPr="006727B9">
              <w:rPr>
                <w:rFonts w:ascii="Garamond" w:eastAsia="Arial" w:hAnsi="Garamond"/>
                <w:b/>
                <w:bCs/>
              </w:rPr>
              <w:t>VALOR TOTAL</w:t>
            </w:r>
          </w:p>
        </w:tc>
      </w:tr>
      <w:tr w:rsidR="00381F54" w:rsidRPr="006727B9" w14:paraId="7329ECBD" w14:textId="77777777" w:rsidTr="007225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59193" w14:textId="77777777" w:rsidR="00381F54" w:rsidRPr="006727B9" w:rsidRDefault="00000000">
            <w:pPr>
              <w:widowControl w:val="0"/>
              <w:spacing w:before="120" w:after="288" w:line="312" w:lineRule="auto"/>
              <w:jc w:val="center"/>
              <w:rPr>
                <w:rFonts w:ascii="Garamond" w:eastAsia="Arial" w:hAnsi="Garamond"/>
                <w:b/>
                <w:bCs/>
                <w:color w:val="000000"/>
                <w:sz w:val="24"/>
                <w:szCs w:val="24"/>
              </w:rPr>
            </w:pPr>
            <w:r w:rsidRPr="006727B9">
              <w:rPr>
                <w:rFonts w:ascii="Garamond" w:eastAsia="Arial" w:hAnsi="Garamond"/>
                <w:b/>
                <w:bCs/>
                <w:color w:val="000000" w:themeColor="text1"/>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E6003"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621FE"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2CB04"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325B4"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A4EA5"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7EB48" w14:textId="77777777" w:rsidR="00381F54" w:rsidRPr="006727B9" w:rsidRDefault="00381F54">
            <w:pPr>
              <w:widowControl w:val="0"/>
              <w:spacing w:before="120" w:after="288" w:line="312" w:lineRule="auto"/>
              <w:rPr>
                <w:rFonts w:ascii="Garamond" w:eastAsia="Arial" w:hAnsi="Garamond"/>
                <w:color w:val="000000"/>
                <w:sz w:val="24"/>
                <w:szCs w:val="24"/>
              </w:rPr>
            </w:pPr>
          </w:p>
        </w:tc>
      </w:tr>
      <w:tr w:rsidR="00381F54" w:rsidRPr="006727B9" w14:paraId="102B7337" w14:textId="77777777" w:rsidTr="007225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C08B8" w14:textId="77777777" w:rsidR="00381F54" w:rsidRPr="006727B9" w:rsidRDefault="00000000">
            <w:pPr>
              <w:widowControl w:val="0"/>
              <w:spacing w:before="120" w:after="288" w:line="312" w:lineRule="auto"/>
              <w:jc w:val="center"/>
              <w:rPr>
                <w:rFonts w:ascii="Garamond" w:eastAsia="Arial" w:hAnsi="Garamond"/>
                <w:b/>
                <w:bCs/>
                <w:color w:val="000000"/>
                <w:sz w:val="24"/>
                <w:szCs w:val="24"/>
              </w:rPr>
            </w:pPr>
            <w:r w:rsidRPr="006727B9">
              <w:rPr>
                <w:rFonts w:ascii="Garamond" w:eastAsia="Arial" w:hAnsi="Garamond"/>
                <w:b/>
                <w:bCs/>
                <w:color w:val="000000" w:themeColor="text1"/>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750A4"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D563C"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1E72F"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EB012"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57826"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FE37" w14:textId="77777777" w:rsidR="00381F54" w:rsidRPr="006727B9" w:rsidRDefault="00381F54">
            <w:pPr>
              <w:widowControl w:val="0"/>
              <w:spacing w:before="120" w:after="288" w:line="312" w:lineRule="auto"/>
              <w:rPr>
                <w:rFonts w:ascii="Garamond" w:eastAsia="Arial" w:hAnsi="Garamond"/>
                <w:color w:val="000000"/>
                <w:sz w:val="24"/>
                <w:szCs w:val="24"/>
              </w:rPr>
            </w:pPr>
          </w:p>
        </w:tc>
      </w:tr>
      <w:tr w:rsidR="00381F54" w:rsidRPr="006727B9" w14:paraId="160A15F6" w14:textId="77777777" w:rsidTr="007225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FBE13" w14:textId="77777777" w:rsidR="00381F54" w:rsidRPr="006727B9" w:rsidRDefault="00000000">
            <w:pPr>
              <w:widowControl w:val="0"/>
              <w:spacing w:before="120" w:after="288" w:line="312" w:lineRule="auto"/>
              <w:jc w:val="center"/>
              <w:rPr>
                <w:rFonts w:ascii="Garamond" w:eastAsia="Arial" w:hAnsi="Garamond"/>
                <w:b/>
                <w:bCs/>
                <w:color w:val="000000"/>
                <w:sz w:val="24"/>
                <w:szCs w:val="24"/>
              </w:rPr>
            </w:pPr>
            <w:r w:rsidRPr="006727B9">
              <w:rPr>
                <w:rFonts w:ascii="Garamond" w:eastAsia="Arial" w:hAnsi="Garamond"/>
                <w:b/>
                <w:bCs/>
                <w:color w:val="000000" w:themeColor="text1"/>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BC87A"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6C79C"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49CF7"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67BC8"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78F81"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93EC6" w14:textId="77777777" w:rsidR="00381F54" w:rsidRPr="006727B9" w:rsidRDefault="00381F54">
            <w:pPr>
              <w:widowControl w:val="0"/>
              <w:spacing w:before="120" w:after="288" w:line="312" w:lineRule="auto"/>
              <w:rPr>
                <w:rFonts w:ascii="Garamond" w:eastAsia="Arial" w:hAnsi="Garamond"/>
                <w:color w:val="000000"/>
                <w:sz w:val="24"/>
                <w:szCs w:val="24"/>
              </w:rPr>
            </w:pPr>
          </w:p>
        </w:tc>
      </w:tr>
      <w:tr w:rsidR="00381F54" w:rsidRPr="006727B9" w14:paraId="2B93F032" w14:textId="77777777" w:rsidTr="007225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944A7" w14:textId="77777777" w:rsidR="00381F54" w:rsidRPr="006727B9" w:rsidRDefault="00000000">
            <w:pPr>
              <w:widowControl w:val="0"/>
              <w:spacing w:before="120" w:after="288" w:line="312" w:lineRule="auto"/>
              <w:jc w:val="center"/>
              <w:rPr>
                <w:rFonts w:ascii="Garamond" w:eastAsia="Arial" w:hAnsi="Garamond"/>
                <w:b/>
                <w:bCs/>
                <w:color w:val="000000"/>
                <w:sz w:val="24"/>
                <w:szCs w:val="24"/>
              </w:rPr>
            </w:pPr>
            <w:r w:rsidRPr="006727B9">
              <w:rPr>
                <w:rFonts w:ascii="Garamond" w:eastAsia="Arial" w:hAnsi="Garamond"/>
                <w:b/>
                <w:bCs/>
                <w:color w:val="000000" w:themeColor="text1"/>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7CAE" w14:textId="77777777" w:rsidR="00381F54" w:rsidRPr="006727B9" w:rsidRDefault="00381F54">
            <w:pPr>
              <w:widowControl w:val="0"/>
              <w:spacing w:before="120" w:after="288" w:line="312" w:lineRule="auto"/>
              <w:jc w:val="center"/>
              <w:rPr>
                <w:rFonts w:ascii="Garamond" w:eastAsia="Arial" w:hAnsi="Garamond"/>
                <w:sz w:val="24"/>
                <w:szCs w:val="24"/>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AFA06"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697B8"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711A9"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D537D" w14:textId="77777777" w:rsidR="00381F54" w:rsidRPr="006727B9" w:rsidRDefault="00381F54">
            <w:pPr>
              <w:widowControl w:val="0"/>
              <w:spacing w:before="120" w:after="288" w:line="312" w:lineRule="auto"/>
              <w:rPr>
                <w:rFonts w:ascii="Garamond" w:eastAsia="Arial" w:hAnsi="Garamond"/>
                <w:color w:val="000000"/>
                <w:sz w:val="24"/>
                <w:szCs w:val="24"/>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8E41D" w14:textId="77777777" w:rsidR="00381F54" w:rsidRPr="006727B9" w:rsidRDefault="00381F54">
            <w:pPr>
              <w:widowControl w:val="0"/>
              <w:spacing w:before="120" w:after="288" w:line="312" w:lineRule="auto"/>
              <w:rPr>
                <w:rFonts w:ascii="Garamond" w:eastAsia="Arial" w:hAnsi="Garamond"/>
                <w:color w:val="000000"/>
                <w:sz w:val="24"/>
                <w:szCs w:val="24"/>
              </w:rPr>
            </w:pPr>
          </w:p>
        </w:tc>
      </w:tr>
    </w:tbl>
    <w:p w14:paraId="657288D3" w14:textId="77777777" w:rsidR="00381F54" w:rsidRPr="006727B9" w:rsidRDefault="00000000">
      <w:pPr>
        <w:pStyle w:val="Nivel2"/>
        <w:numPr>
          <w:ilvl w:val="0"/>
          <w:numId w:val="0"/>
        </w:numPr>
        <w:rPr>
          <w:rFonts w:ascii="Garamond" w:hAnsi="Garamond" w:cs="Times New Roman"/>
          <w:b/>
          <w:bCs/>
          <w:sz w:val="24"/>
          <w:szCs w:val="24"/>
        </w:rPr>
      </w:pPr>
      <w:r w:rsidRPr="006727B9">
        <w:rPr>
          <w:rFonts w:ascii="Garamond" w:hAnsi="Garamond" w:cs="Times New Roman"/>
          <w:b/>
          <w:bCs/>
          <w:sz w:val="24"/>
          <w:szCs w:val="24"/>
        </w:rPr>
        <w:t>NOTA EXPLICATIVA: Avaliar a necessidade da menção à tabela, podendo ser ajustada conforme o caso concreto.</w:t>
      </w:r>
    </w:p>
    <w:p w14:paraId="75F7FE9C"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Vinculam esta contratação, independentemente de transcrição:</w:t>
      </w:r>
    </w:p>
    <w:p w14:paraId="45EF9F75"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O Termo de Referência;</w:t>
      </w:r>
    </w:p>
    <w:p w14:paraId="14C51DDA"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O instrumento convocatório, assim considerado o Edital de Licitação ou o Aviso de Contratação Direta, conforme o caso;</w:t>
      </w:r>
    </w:p>
    <w:p w14:paraId="6916FF92"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A Proposta do contratado; que, em caso de divergência com as condições estabelecidas neste Contrato e nos demais instrumentos anexos, cederá àquelas;</w:t>
      </w:r>
    </w:p>
    <w:p w14:paraId="325779E7"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lastRenderedPageBreak/>
        <w:t>Eventuais anexos dos documentos supracitados.</w:t>
      </w:r>
    </w:p>
    <w:p w14:paraId="60EC620A"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Havendo qualquer divergência entre as disposições deste instrumento e dos seus Anexos, como o Termo de Referência, prevalecerá o disposto no presente Contrato.</w:t>
      </w:r>
    </w:p>
    <w:p w14:paraId="677A12A4"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SEGUNDA – VIGÊNCIA E PRORROGAÇÃO</w:t>
      </w:r>
    </w:p>
    <w:p w14:paraId="03428552" w14:textId="543CAA7E" w:rsidR="000601AC" w:rsidRPr="006727B9" w:rsidRDefault="00000000" w:rsidP="000601AC">
      <w:pPr>
        <w:pStyle w:val="Nvel2-Red"/>
        <w:rPr>
          <w:rFonts w:ascii="Garamond" w:hAnsi="Garamond" w:cs="Times New Roman"/>
          <w:sz w:val="24"/>
          <w:szCs w:val="24"/>
        </w:rPr>
      </w:pPr>
      <w:r w:rsidRPr="006727B9">
        <w:rPr>
          <w:rFonts w:ascii="Garamond" w:hAnsi="Garamond" w:cs="Times New Roman"/>
          <w:sz w:val="24"/>
          <w:szCs w:val="24"/>
        </w:rPr>
        <w:t>O prazo de vigência da contratação é de ..............................</w:t>
      </w:r>
      <w:r w:rsidR="000601AC" w:rsidRPr="006727B9">
        <w:rPr>
          <w:rFonts w:ascii="Garamond" w:hAnsi="Garamond" w:cs="Times New Roman"/>
          <w:sz w:val="24"/>
          <w:szCs w:val="24"/>
        </w:rPr>
        <w:t xml:space="preserve">. </w:t>
      </w:r>
      <w:r w:rsidR="000601AC" w:rsidRPr="006727B9">
        <w:rPr>
          <w:rFonts w:ascii="Garamond" w:hAnsi="Garamond" w:cs="Times New Roman"/>
          <w:color w:val="70AD47" w:themeColor="accent6"/>
          <w:sz w:val="24"/>
          <w:szCs w:val="24"/>
        </w:rPr>
        <w:t>(dias/meses/anos) contado da divulgação no Portal Nacional de Contratações Públicas (PNCP)</w:t>
      </w:r>
      <w:r w:rsidR="00047B9E" w:rsidRPr="006727B9">
        <w:rPr>
          <w:rFonts w:ascii="Garamond" w:hAnsi="Garamond" w:cs="Times New Roman"/>
          <w:color w:val="70AD47" w:themeColor="accent6"/>
          <w:sz w:val="24"/>
          <w:szCs w:val="24"/>
        </w:rPr>
        <w:t xml:space="preserve">, </w:t>
      </w:r>
      <w:r w:rsidR="00047B9E" w:rsidRPr="006727B9">
        <w:rPr>
          <w:rFonts w:ascii="Garamond" w:hAnsi="Garamond" w:cs="Times New Roman"/>
          <w:color w:val="7030A0"/>
          <w:sz w:val="24"/>
          <w:szCs w:val="24"/>
        </w:rPr>
        <w:t>na forma do art. 105 da Lei 14.133/2021.</w:t>
      </w:r>
    </w:p>
    <w:p w14:paraId="5682D950"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O prazo de vigência será automaticamente prorrogado, independentemente de termo aditivo, quando o objeto não for concluído no período firmado acima, na forma do art. 111 da Lei nº 14.133/2021, caso em que deverá o CONTRATANTE providenciar a readequação do cronograma fixado para o Contrato, ressalvadas as providências cabíveis no caso de culpa do CONTRATADO, previstas neste instrumento.</w:t>
      </w:r>
    </w:p>
    <w:tbl>
      <w:tblPr>
        <w:tblStyle w:val="Tabelacomgrade"/>
        <w:tblW w:w="0" w:type="auto"/>
        <w:tblLook w:val="04A0" w:firstRow="1" w:lastRow="0" w:firstColumn="1" w:lastColumn="0" w:noHBand="0" w:noVBand="1"/>
      </w:tblPr>
      <w:tblGrid>
        <w:gridCol w:w="1126"/>
        <w:gridCol w:w="7934"/>
      </w:tblGrid>
      <w:tr w:rsidR="00381F54" w:rsidRPr="006727B9" w14:paraId="1379F11B" w14:textId="77777777">
        <w:trPr>
          <w:trHeight w:val="385"/>
        </w:trPr>
        <w:tc>
          <w:tcPr>
            <w:tcW w:w="9832" w:type="dxa"/>
            <w:gridSpan w:val="2"/>
          </w:tcPr>
          <w:p w14:paraId="74D7BCFB"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26BE3B34" w14:textId="77777777">
        <w:tc>
          <w:tcPr>
            <w:tcW w:w="1195" w:type="dxa"/>
          </w:tcPr>
          <w:p w14:paraId="48235F77"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2.1</w:t>
            </w:r>
          </w:p>
        </w:tc>
        <w:tc>
          <w:tcPr>
            <w:tcW w:w="8637" w:type="dxa"/>
          </w:tcPr>
          <w:p w14:paraId="6D5CDF6E" w14:textId="77777777" w:rsidR="00381F54" w:rsidRPr="006727B9" w:rsidRDefault="00000000">
            <w:pPr>
              <w:pStyle w:val="pf0"/>
              <w:rPr>
                <w:rStyle w:val="cf01"/>
                <w:rFonts w:ascii="Garamond" w:hAnsi="Garamond" w:cs="Times New Roman"/>
                <w:sz w:val="24"/>
                <w:szCs w:val="24"/>
              </w:rPr>
            </w:pPr>
            <w:r w:rsidRPr="006727B9">
              <w:rPr>
                <w:rStyle w:val="cf01"/>
                <w:rFonts w:ascii="Garamond" w:hAnsi="Garamond" w:cs="Times New Roman"/>
                <w:sz w:val="24"/>
                <w:szCs w:val="24"/>
              </w:rPr>
              <w:t>Utilizar esta redação para contratos de escopo, cuja vigência se fundamenta no art. 105 da Lei n.º 14.133, de 2021.</w:t>
            </w:r>
          </w:p>
          <w:p w14:paraId="10123D16" w14:textId="12A49F19" w:rsidR="00D27CB7" w:rsidRPr="006727B9" w:rsidRDefault="00D27CB7">
            <w:pPr>
              <w:pStyle w:val="pf0"/>
              <w:rPr>
                <w:rFonts w:ascii="Garamond" w:hAnsi="Garamond"/>
                <w:i/>
                <w:iCs/>
                <w:color w:val="70AD47" w:themeColor="accent6"/>
              </w:rPr>
            </w:pPr>
            <w:r w:rsidRPr="006727B9">
              <w:rPr>
                <w:rFonts w:ascii="Garamond" w:hAnsi="Garamond"/>
                <w:i/>
                <w:iCs/>
                <w:color w:val="70AD47" w:themeColor="accent6"/>
              </w:rPr>
              <w:t>O art. 94 da Lei nº 14.133/2021 condiciona a eficácia dos contratos e aditivos à divulgação respectiva no PNCP.</w:t>
            </w:r>
          </w:p>
        </w:tc>
      </w:tr>
    </w:tbl>
    <w:p w14:paraId="6AF1F4EF" w14:textId="77777777" w:rsidR="00381F54" w:rsidRPr="006727B9" w:rsidRDefault="00381F54">
      <w:pPr>
        <w:pStyle w:val="Nvel3-R"/>
        <w:numPr>
          <w:ilvl w:val="0"/>
          <w:numId w:val="0"/>
        </w:numPr>
        <w:ind w:left="284"/>
        <w:rPr>
          <w:rFonts w:ascii="Garamond" w:hAnsi="Garamond" w:cs="Times New Roman"/>
          <w:sz w:val="24"/>
          <w:szCs w:val="24"/>
        </w:rPr>
      </w:pPr>
    </w:p>
    <w:p w14:paraId="5F4E53C2" w14:textId="77777777" w:rsidR="00381F54" w:rsidRPr="006727B9" w:rsidRDefault="00000000">
      <w:pPr>
        <w:pStyle w:val="ou"/>
        <w:rPr>
          <w:rFonts w:ascii="Garamond" w:hAnsi="Garamond" w:cs="Times New Roman"/>
        </w:rPr>
      </w:pPr>
      <w:r w:rsidRPr="006727B9">
        <w:rPr>
          <w:rFonts w:ascii="Garamond" w:hAnsi="Garamond" w:cs="Times New Roman"/>
        </w:rPr>
        <w:t>OU</w:t>
      </w:r>
    </w:p>
    <w:p w14:paraId="384CC415" w14:textId="77777777" w:rsidR="00047B9E" w:rsidRPr="006727B9" w:rsidRDefault="00047B9E">
      <w:pPr>
        <w:pStyle w:val="ou"/>
        <w:rPr>
          <w:rFonts w:ascii="Garamond" w:hAnsi="Garamond" w:cs="Times New Roman"/>
        </w:rPr>
      </w:pPr>
    </w:p>
    <w:p w14:paraId="637EBCEB" w14:textId="77777777" w:rsidR="009252FC" w:rsidRPr="006727B9" w:rsidRDefault="00000000">
      <w:pPr>
        <w:pStyle w:val="Nvel2-Red"/>
        <w:numPr>
          <w:ilvl w:val="0"/>
          <w:numId w:val="0"/>
        </w:numPr>
        <w:rPr>
          <w:rFonts w:ascii="Garamond" w:hAnsi="Garamond" w:cs="Times New Roman"/>
          <w:color w:val="ED7D31" w:themeColor="accent2"/>
          <w:sz w:val="24"/>
          <w:szCs w:val="24"/>
        </w:rPr>
      </w:pPr>
      <w:r w:rsidRPr="006727B9">
        <w:rPr>
          <w:rFonts w:ascii="Garamond" w:hAnsi="Garamond" w:cs="Times New Roman"/>
          <w:sz w:val="24"/>
          <w:szCs w:val="24"/>
        </w:rPr>
        <w:t xml:space="preserve">2.1 O prazo de vigência da contratação é de .............................. </w:t>
      </w:r>
      <w:r w:rsidR="009252FC" w:rsidRPr="006727B9">
        <w:rPr>
          <w:rFonts w:ascii="Garamond" w:hAnsi="Garamond" w:cs="Times New Roman"/>
          <w:color w:val="ED7D31" w:themeColor="accent2"/>
          <w:sz w:val="24"/>
          <w:szCs w:val="24"/>
        </w:rPr>
        <w:t>(dias/meses/anos) contado da divulgação no Portal Nacional de Contratações Públicas (PNCP), prorrogável por até 10 anos, na forma dos artigos 106 e 107 da Lei n° 14.133, de 2021.</w:t>
      </w:r>
    </w:p>
    <w:p w14:paraId="1FB01F40" w14:textId="77777777" w:rsidR="00047B9E" w:rsidRPr="006727B9" w:rsidRDefault="00047B9E">
      <w:pPr>
        <w:pStyle w:val="Nvel3-R"/>
        <w:numPr>
          <w:ilvl w:val="0"/>
          <w:numId w:val="0"/>
        </w:numPr>
        <w:rPr>
          <w:rFonts w:ascii="Garamond" w:hAnsi="Garamond" w:cs="Times New Roman"/>
          <w:sz w:val="24"/>
          <w:szCs w:val="24"/>
        </w:rPr>
      </w:pPr>
    </w:p>
    <w:p w14:paraId="47F0D2C9" w14:textId="4DD5D744" w:rsidR="00381F54" w:rsidRPr="006727B9" w:rsidRDefault="00000000">
      <w:pPr>
        <w:pStyle w:val="Nvel3-R"/>
        <w:numPr>
          <w:ilvl w:val="0"/>
          <w:numId w:val="0"/>
        </w:numPr>
        <w:rPr>
          <w:rFonts w:ascii="Garamond" w:hAnsi="Garamond" w:cs="Times New Roman"/>
          <w:sz w:val="24"/>
          <w:szCs w:val="24"/>
        </w:rPr>
      </w:pPr>
      <w:r w:rsidRPr="006727B9">
        <w:rPr>
          <w:rFonts w:ascii="Garamond" w:hAnsi="Garamond" w:cs="Times New Roman"/>
          <w:sz w:val="24"/>
          <w:szCs w:val="24"/>
        </w:rPr>
        <w:t>2.2 O prazo de vigência do Contrato poderá ser prorrogado, sucessivamente, até o máximo de 10 (dez) anos, na forma dos artigos 106 e 107 da Lei nº 14.133/2021.</w:t>
      </w:r>
    </w:p>
    <w:p w14:paraId="7CD34C99" w14:textId="77777777" w:rsidR="00381F54" w:rsidRPr="006727B9" w:rsidRDefault="00000000">
      <w:pPr>
        <w:pStyle w:val="Nvel3-R"/>
        <w:numPr>
          <w:ilvl w:val="0"/>
          <w:numId w:val="0"/>
        </w:numPr>
        <w:ind w:left="1134"/>
        <w:rPr>
          <w:rFonts w:ascii="Garamond" w:hAnsi="Garamond" w:cs="Times New Roman"/>
          <w:sz w:val="24"/>
          <w:szCs w:val="24"/>
        </w:rPr>
      </w:pPr>
      <w:r w:rsidRPr="006727B9">
        <w:rPr>
          <w:rFonts w:ascii="Garamond" w:hAnsi="Garamond" w:cs="Times New Roman"/>
          <w:sz w:val="24"/>
          <w:szCs w:val="24"/>
        </w:rPr>
        <w:t>2.2.1 A prorrogação de que trata este item é condicionada ao ateste, pela autoridade competente, de que as condições e os preços permanecem vantajosos para a Administração, permitida a negociação com o CONTRATADO, desde que observados, ainda, os seguintes requisitos:</w:t>
      </w:r>
    </w:p>
    <w:p w14:paraId="512E72C8" w14:textId="77777777" w:rsidR="00381F54" w:rsidRPr="006727B9" w:rsidRDefault="00000000">
      <w:pPr>
        <w:pStyle w:val="Nvel3-R"/>
        <w:numPr>
          <w:ilvl w:val="0"/>
          <w:numId w:val="0"/>
        </w:numPr>
        <w:ind w:left="1134"/>
        <w:rPr>
          <w:rFonts w:ascii="Garamond" w:hAnsi="Garamond" w:cs="Times New Roman"/>
          <w:sz w:val="24"/>
          <w:szCs w:val="24"/>
        </w:rPr>
      </w:pPr>
      <w:r w:rsidRPr="006727B9">
        <w:rPr>
          <w:rFonts w:ascii="Garamond" w:hAnsi="Garamond" w:cs="Times New Roman"/>
          <w:sz w:val="24"/>
          <w:szCs w:val="24"/>
        </w:rPr>
        <w:t>a) demonstração formal, no processo, de que a forma dos fornecimentos tem natureza continuada;</w:t>
      </w:r>
    </w:p>
    <w:p w14:paraId="7DF63D64" w14:textId="77777777" w:rsidR="00381F54" w:rsidRPr="006727B9" w:rsidRDefault="00000000">
      <w:pPr>
        <w:pStyle w:val="Nvel3-R"/>
        <w:numPr>
          <w:ilvl w:val="0"/>
          <w:numId w:val="0"/>
        </w:numPr>
        <w:ind w:left="1134"/>
        <w:rPr>
          <w:rFonts w:ascii="Garamond" w:hAnsi="Garamond" w:cs="Times New Roman"/>
          <w:sz w:val="24"/>
          <w:szCs w:val="24"/>
        </w:rPr>
      </w:pPr>
      <w:r w:rsidRPr="006727B9">
        <w:rPr>
          <w:rFonts w:ascii="Garamond" w:hAnsi="Garamond" w:cs="Times New Roman"/>
          <w:sz w:val="24"/>
          <w:szCs w:val="24"/>
        </w:rPr>
        <w:t xml:space="preserve">b) juntada de relatório sobre a execução do Contrato, com informações de que os fornecimentos tenham sido realizados regularmente;  </w:t>
      </w:r>
    </w:p>
    <w:p w14:paraId="6A9E2441" w14:textId="77777777" w:rsidR="00381F54" w:rsidRPr="006727B9" w:rsidRDefault="00000000">
      <w:pPr>
        <w:pStyle w:val="Nvel3-R"/>
        <w:numPr>
          <w:ilvl w:val="0"/>
          <w:numId w:val="0"/>
        </w:numPr>
        <w:ind w:left="1134"/>
        <w:rPr>
          <w:rFonts w:ascii="Garamond" w:hAnsi="Garamond" w:cs="Times New Roman"/>
          <w:sz w:val="24"/>
          <w:szCs w:val="24"/>
        </w:rPr>
      </w:pPr>
      <w:r w:rsidRPr="006727B9">
        <w:rPr>
          <w:rFonts w:ascii="Garamond" w:hAnsi="Garamond" w:cs="Times New Roman"/>
          <w:sz w:val="24"/>
          <w:szCs w:val="24"/>
        </w:rPr>
        <w:t xml:space="preserve">c) juntada de justificativa de que a Administração mantém interesse na continuidade dos fornecimentos;  </w:t>
      </w:r>
    </w:p>
    <w:p w14:paraId="4FE1C66D" w14:textId="77777777" w:rsidR="00381F54" w:rsidRPr="006727B9" w:rsidRDefault="00000000">
      <w:pPr>
        <w:pStyle w:val="Nvel3-R"/>
        <w:numPr>
          <w:ilvl w:val="0"/>
          <w:numId w:val="0"/>
        </w:numPr>
        <w:ind w:left="1134"/>
        <w:rPr>
          <w:rFonts w:ascii="Garamond" w:hAnsi="Garamond" w:cs="Times New Roman"/>
          <w:sz w:val="24"/>
          <w:szCs w:val="24"/>
        </w:rPr>
      </w:pPr>
      <w:r w:rsidRPr="006727B9">
        <w:rPr>
          <w:rFonts w:ascii="Garamond" w:hAnsi="Garamond" w:cs="Times New Roman"/>
          <w:sz w:val="24"/>
          <w:szCs w:val="24"/>
        </w:rPr>
        <w:t xml:space="preserve">d) manifestação expressa do CONTRATADO informando o interesse na prorrogação; </w:t>
      </w:r>
    </w:p>
    <w:p w14:paraId="23862442" w14:textId="77777777" w:rsidR="00381F54" w:rsidRPr="006727B9" w:rsidRDefault="00000000">
      <w:pPr>
        <w:pStyle w:val="Nvel3-R"/>
        <w:numPr>
          <w:ilvl w:val="0"/>
          <w:numId w:val="0"/>
        </w:numPr>
        <w:ind w:left="1134"/>
        <w:rPr>
          <w:rFonts w:ascii="Garamond" w:hAnsi="Garamond" w:cs="Times New Roman"/>
          <w:sz w:val="24"/>
          <w:szCs w:val="24"/>
        </w:rPr>
      </w:pPr>
      <w:r w:rsidRPr="006727B9">
        <w:rPr>
          <w:rFonts w:ascii="Garamond" w:hAnsi="Garamond" w:cs="Times New Roman"/>
          <w:sz w:val="24"/>
          <w:szCs w:val="24"/>
        </w:rPr>
        <w:t>e) comprovação de que o CONTRATADO mantém as condições de habilitação; e</w:t>
      </w:r>
    </w:p>
    <w:p w14:paraId="6C29B797" w14:textId="77777777" w:rsidR="00381F54" w:rsidRPr="006727B9" w:rsidRDefault="00000000">
      <w:pPr>
        <w:pStyle w:val="Nvel3-R"/>
        <w:numPr>
          <w:ilvl w:val="0"/>
          <w:numId w:val="0"/>
        </w:numPr>
        <w:ind w:left="1134"/>
        <w:rPr>
          <w:rFonts w:ascii="Garamond" w:hAnsi="Garamond" w:cs="Times New Roman"/>
          <w:sz w:val="24"/>
          <w:szCs w:val="24"/>
        </w:rPr>
      </w:pPr>
      <w:r w:rsidRPr="006727B9">
        <w:rPr>
          <w:rFonts w:ascii="Garamond" w:hAnsi="Garamond" w:cs="Times New Roman"/>
          <w:sz w:val="24"/>
          <w:szCs w:val="24"/>
        </w:rPr>
        <w:lastRenderedPageBreak/>
        <w:t>f) informação quanto à existência de disponibilidade orçamentário-financeira para as despesas vindouras.</w:t>
      </w:r>
    </w:p>
    <w:p w14:paraId="1774FDDD" w14:textId="77777777" w:rsidR="00381F54" w:rsidRPr="006727B9" w:rsidRDefault="00381F54">
      <w:pPr>
        <w:pStyle w:val="Nvel3-R"/>
        <w:numPr>
          <w:ilvl w:val="0"/>
          <w:numId w:val="0"/>
        </w:numPr>
        <w:ind w:left="284"/>
        <w:rPr>
          <w:rFonts w:ascii="Garamond" w:hAnsi="Garamond" w:cs="Times New Roman"/>
          <w:sz w:val="24"/>
          <w:szCs w:val="24"/>
        </w:rPr>
      </w:pPr>
    </w:p>
    <w:tbl>
      <w:tblPr>
        <w:tblStyle w:val="Tabelacomgrade"/>
        <w:tblW w:w="0" w:type="auto"/>
        <w:tblLook w:val="04A0" w:firstRow="1" w:lastRow="0" w:firstColumn="1" w:lastColumn="0" w:noHBand="0" w:noVBand="1"/>
      </w:tblPr>
      <w:tblGrid>
        <w:gridCol w:w="8123"/>
      </w:tblGrid>
      <w:tr w:rsidR="00381F54" w:rsidRPr="006727B9" w14:paraId="6C9D3E53" w14:textId="77777777">
        <w:tc>
          <w:tcPr>
            <w:tcW w:w="8123" w:type="dxa"/>
          </w:tcPr>
          <w:p w14:paraId="7E3BD13C" w14:textId="77777777" w:rsidR="00381F54" w:rsidRPr="006727B9" w:rsidRDefault="00000000">
            <w:pPr>
              <w:spacing w:before="100" w:beforeAutospacing="1" w:after="100" w:afterAutospacing="1"/>
              <w:rPr>
                <w:rFonts w:ascii="Garamond" w:eastAsia="Times New Roman" w:hAnsi="Garamond"/>
                <w:sz w:val="24"/>
                <w:szCs w:val="24"/>
              </w:rPr>
            </w:pPr>
            <w:r w:rsidRPr="006727B9">
              <w:rPr>
                <w:rFonts w:ascii="Garamond" w:eastAsia="Times New Roman" w:hAnsi="Garamond"/>
                <w:b/>
                <w:bCs/>
                <w:i/>
                <w:iCs/>
                <w:sz w:val="24"/>
                <w:szCs w:val="24"/>
              </w:rPr>
              <w:t xml:space="preserve">Nota Explicativa 1: </w:t>
            </w:r>
            <w:r w:rsidRPr="006727B9">
              <w:rPr>
                <w:rFonts w:ascii="Garamond" w:eastAsia="Times New Roman" w:hAnsi="Garamond"/>
                <w:i/>
                <w:iCs/>
                <w:sz w:val="24"/>
                <w:szCs w:val="24"/>
              </w:rPr>
              <w:t>Indicar o prazo</w:t>
            </w:r>
            <w:r w:rsidRPr="006727B9">
              <w:rPr>
                <w:rFonts w:ascii="Garamond" w:eastAsia="Times New Roman" w:hAnsi="Garamond"/>
                <w:b/>
                <w:bCs/>
                <w:i/>
                <w:iCs/>
                <w:sz w:val="24"/>
                <w:szCs w:val="24"/>
              </w:rPr>
              <w:t xml:space="preserve"> </w:t>
            </w:r>
            <w:r w:rsidRPr="006727B9">
              <w:rPr>
                <w:rFonts w:ascii="Garamond" w:eastAsia="Times New Roman" w:hAnsi="Garamond"/>
                <w:i/>
                <w:iCs/>
                <w:sz w:val="24"/>
                <w:szCs w:val="24"/>
              </w:rPr>
              <w:t>inicial da contratação, que deverá ser de no máximo 5 (cinco) anos.</w:t>
            </w:r>
          </w:p>
          <w:p w14:paraId="57D6F5B6" w14:textId="77777777" w:rsidR="00381F54" w:rsidRPr="006727B9" w:rsidRDefault="00000000">
            <w:pPr>
              <w:spacing w:before="100" w:beforeAutospacing="1" w:after="100" w:afterAutospacing="1"/>
              <w:rPr>
                <w:rFonts w:ascii="Garamond" w:hAnsi="Garamond"/>
                <w:i/>
                <w:iCs/>
                <w:sz w:val="24"/>
                <w:szCs w:val="24"/>
              </w:rPr>
            </w:pPr>
            <w:r w:rsidRPr="006727B9">
              <w:rPr>
                <w:rFonts w:ascii="Garamond" w:eastAsia="Times New Roman" w:hAnsi="Garamond"/>
                <w:b/>
                <w:bCs/>
                <w:i/>
                <w:iCs/>
                <w:sz w:val="24"/>
                <w:szCs w:val="24"/>
              </w:rPr>
              <w:t>Nota Explicativa 2:</w:t>
            </w:r>
            <w:r w:rsidRPr="006727B9">
              <w:rPr>
                <w:rFonts w:ascii="Garamond" w:eastAsia="Times New Roman" w:hAnsi="Garamond"/>
                <w:i/>
                <w:iCs/>
                <w:sz w:val="24"/>
                <w:szCs w:val="24"/>
              </w:rPr>
              <w:t xml:space="preserve"> Utilizar esta redação para contratações de </w:t>
            </w:r>
            <w:r w:rsidRPr="006727B9">
              <w:rPr>
                <w:rFonts w:ascii="Garamond" w:eastAsia="Times New Roman" w:hAnsi="Garamond"/>
                <w:b/>
                <w:bCs/>
                <w:i/>
                <w:iCs/>
                <w:sz w:val="24"/>
                <w:szCs w:val="24"/>
              </w:rPr>
              <w:t>fornecimentos contínuos</w:t>
            </w:r>
            <w:r w:rsidRPr="006727B9">
              <w:rPr>
                <w:rFonts w:ascii="Garamond" w:eastAsia="Times New Roman" w:hAnsi="Garamond"/>
                <w:i/>
                <w:iCs/>
                <w:sz w:val="24"/>
                <w:szCs w:val="24"/>
              </w:rPr>
              <w:t xml:space="preserve">, conforme </w:t>
            </w:r>
            <w:proofErr w:type="spellStart"/>
            <w:r w:rsidRPr="006727B9">
              <w:rPr>
                <w:rFonts w:ascii="Garamond" w:eastAsia="Times New Roman" w:hAnsi="Garamond"/>
                <w:i/>
                <w:iCs/>
                <w:sz w:val="24"/>
                <w:szCs w:val="24"/>
              </w:rPr>
              <w:t>arts</w:t>
            </w:r>
            <w:proofErr w:type="spellEnd"/>
            <w:r w:rsidRPr="006727B9">
              <w:rPr>
                <w:rFonts w:ascii="Garamond" w:eastAsia="Times New Roman" w:hAnsi="Garamond"/>
                <w:i/>
                <w:iCs/>
                <w:sz w:val="24"/>
                <w:szCs w:val="24"/>
              </w:rPr>
              <w:t>. 106 e 107 da Lei nº 14.133, de 2021, considerando a definição do art. 6º, XV do mesmo normativo.</w:t>
            </w:r>
          </w:p>
        </w:tc>
      </w:tr>
    </w:tbl>
    <w:p w14:paraId="676CF5FA" w14:textId="77777777" w:rsidR="00381F54" w:rsidRPr="006727B9" w:rsidRDefault="00381F54">
      <w:pPr>
        <w:pStyle w:val="Nvel3-R"/>
        <w:numPr>
          <w:ilvl w:val="0"/>
          <w:numId w:val="0"/>
        </w:numPr>
        <w:ind w:left="284"/>
        <w:rPr>
          <w:rFonts w:ascii="Garamond" w:hAnsi="Garamond" w:cs="Times New Roman"/>
          <w:sz w:val="24"/>
          <w:szCs w:val="24"/>
        </w:rPr>
      </w:pPr>
    </w:p>
    <w:p w14:paraId="63D6E4B9" w14:textId="268B1370" w:rsidR="00047B9E" w:rsidRPr="006727B9" w:rsidRDefault="00047B9E" w:rsidP="00047B9E">
      <w:pPr>
        <w:pStyle w:val="Nvel3-R"/>
        <w:numPr>
          <w:ilvl w:val="0"/>
          <w:numId w:val="0"/>
        </w:numPr>
        <w:ind w:left="284"/>
        <w:jc w:val="center"/>
        <w:rPr>
          <w:rFonts w:ascii="Garamond" w:hAnsi="Garamond" w:cs="Times New Roman"/>
          <w:b/>
          <w:bCs/>
          <w:color w:val="ED7D31" w:themeColor="accent2"/>
          <w:sz w:val="24"/>
          <w:szCs w:val="24"/>
          <w:u w:val="single"/>
        </w:rPr>
      </w:pPr>
      <w:r w:rsidRPr="006727B9">
        <w:rPr>
          <w:rFonts w:ascii="Garamond" w:hAnsi="Garamond" w:cs="Times New Roman"/>
          <w:b/>
          <w:bCs/>
          <w:color w:val="ED7D31" w:themeColor="accent2"/>
          <w:sz w:val="24"/>
          <w:szCs w:val="24"/>
          <w:u w:val="single"/>
        </w:rPr>
        <w:t>OU</w:t>
      </w:r>
    </w:p>
    <w:p w14:paraId="6D2F8F59" w14:textId="77777777" w:rsidR="00047B9E" w:rsidRPr="006727B9" w:rsidRDefault="00047B9E" w:rsidP="0022332C">
      <w:pPr>
        <w:pStyle w:val="Nvel3-R"/>
        <w:numPr>
          <w:ilvl w:val="0"/>
          <w:numId w:val="0"/>
        </w:numPr>
        <w:rPr>
          <w:rFonts w:ascii="Garamond" w:hAnsi="Garamond" w:cs="Times New Roman"/>
          <w:color w:val="ED7D31" w:themeColor="accent2"/>
          <w:sz w:val="24"/>
          <w:szCs w:val="24"/>
        </w:rPr>
      </w:pPr>
    </w:p>
    <w:p w14:paraId="7EDB3048" w14:textId="67579C69" w:rsidR="0022332C" w:rsidRPr="006727B9" w:rsidRDefault="0022332C" w:rsidP="0022332C">
      <w:pPr>
        <w:pStyle w:val="Nvel3-R"/>
        <w:numPr>
          <w:ilvl w:val="0"/>
          <w:numId w:val="0"/>
        </w:numPr>
        <w:rPr>
          <w:rFonts w:ascii="Garamond" w:hAnsi="Garamond" w:cs="Times New Roman"/>
          <w:color w:val="ED7D31" w:themeColor="accent2"/>
          <w:sz w:val="24"/>
          <w:szCs w:val="24"/>
        </w:rPr>
      </w:pPr>
      <w:r w:rsidRPr="006727B9">
        <w:rPr>
          <w:rFonts w:ascii="Garamond" w:hAnsi="Garamond" w:cs="Times New Roman"/>
          <w:color w:val="ED7D31" w:themeColor="accent2"/>
          <w:sz w:val="24"/>
          <w:szCs w:val="24"/>
        </w:rPr>
        <w:t xml:space="preserve">2.1 </w:t>
      </w:r>
      <w:r w:rsidR="00447F05" w:rsidRPr="006727B9">
        <w:rPr>
          <w:rFonts w:ascii="Garamond" w:hAnsi="Garamond" w:cs="Times New Roman"/>
          <w:color w:val="ED7D31" w:themeColor="accent2"/>
          <w:sz w:val="24"/>
          <w:szCs w:val="24"/>
        </w:rPr>
        <w:t xml:space="preserve">O prazo de vigência da contratação é de .............................. </w:t>
      </w:r>
      <w:r w:rsidR="00281730" w:rsidRPr="006727B9">
        <w:rPr>
          <w:rFonts w:ascii="Garamond" w:hAnsi="Garamond" w:cs="Times New Roman"/>
          <w:color w:val="70AD47" w:themeColor="accent6"/>
          <w:sz w:val="24"/>
          <w:szCs w:val="24"/>
        </w:rPr>
        <w:t>(</w:t>
      </w:r>
      <w:r w:rsidR="00447F05" w:rsidRPr="006727B9">
        <w:rPr>
          <w:rFonts w:ascii="Garamond" w:hAnsi="Garamond" w:cs="Times New Roman"/>
          <w:color w:val="70AD47" w:themeColor="accent6"/>
          <w:sz w:val="24"/>
          <w:szCs w:val="24"/>
        </w:rPr>
        <w:t>dias/meses/anos) contado da divulgação no Portal Nacional de Contratações Públicas (PNCP</w:t>
      </w:r>
      <w:r w:rsidR="00447F05" w:rsidRPr="006727B9">
        <w:rPr>
          <w:rFonts w:ascii="Garamond" w:hAnsi="Garamond" w:cs="Times New Roman"/>
          <w:color w:val="ED7D31" w:themeColor="accent2"/>
          <w:sz w:val="24"/>
          <w:szCs w:val="24"/>
        </w:rPr>
        <w:t>), prorrogável para até 15 anos (máximo de 15 anos, incluindo prorrogações), na forma do artigo 114 da Lei n° 14.133, de 2021.</w:t>
      </w:r>
    </w:p>
    <w:tbl>
      <w:tblPr>
        <w:tblStyle w:val="Tabelacomgrade"/>
        <w:tblW w:w="0" w:type="auto"/>
        <w:tblLook w:val="04A0" w:firstRow="1" w:lastRow="0" w:firstColumn="1" w:lastColumn="0" w:noHBand="0" w:noVBand="1"/>
      </w:tblPr>
      <w:tblGrid>
        <w:gridCol w:w="1130"/>
        <w:gridCol w:w="7930"/>
      </w:tblGrid>
      <w:tr w:rsidR="00281730" w:rsidRPr="006727B9" w14:paraId="10CCAE48" w14:textId="77777777" w:rsidTr="00415A32">
        <w:trPr>
          <w:trHeight w:val="385"/>
        </w:trPr>
        <w:tc>
          <w:tcPr>
            <w:tcW w:w="9832" w:type="dxa"/>
            <w:gridSpan w:val="2"/>
          </w:tcPr>
          <w:p w14:paraId="2E125827" w14:textId="77777777" w:rsidR="00281730" w:rsidRPr="006727B9" w:rsidRDefault="00281730" w:rsidP="00415A32">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281730" w:rsidRPr="006727B9" w14:paraId="65CFB686" w14:textId="77777777" w:rsidTr="00415A32">
        <w:tc>
          <w:tcPr>
            <w:tcW w:w="1195" w:type="dxa"/>
          </w:tcPr>
          <w:p w14:paraId="1746B908" w14:textId="77777777" w:rsidR="00281730" w:rsidRPr="006727B9" w:rsidRDefault="00281730" w:rsidP="00415A32">
            <w:pPr>
              <w:pStyle w:val="Nivel01"/>
              <w:numPr>
                <w:ilvl w:val="0"/>
                <w:numId w:val="0"/>
              </w:numPr>
              <w:rPr>
                <w:rFonts w:ascii="Garamond" w:hAnsi="Garamond" w:cs="Times New Roman"/>
                <w:color w:val="7030A0"/>
                <w:sz w:val="24"/>
                <w:szCs w:val="24"/>
              </w:rPr>
            </w:pPr>
            <w:r w:rsidRPr="006727B9">
              <w:rPr>
                <w:rFonts w:ascii="Garamond" w:hAnsi="Garamond" w:cs="Times New Roman"/>
                <w:color w:val="7030A0"/>
                <w:sz w:val="24"/>
                <w:szCs w:val="24"/>
              </w:rPr>
              <w:t>2.1</w:t>
            </w:r>
          </w:p>
        </w:tc>
        <w:tc>
          <w:tcPr>
            <w:tcW w:w="8637" w:type="dxa"/>
          </w:tcPr>
          <w:p w14:paraId="1AE1DC5E" w14:textId="5D2ECAAF" w:rsidR="00281730" w:rsidRPr="006727B9" w:rsidRDefault="00281730" w:rsidP="00281730">
            <w:pPr>
              <w:pStyle w:val="pf0"/>
              <w:rPr>
                <w:rFonts w:ascii="Garamond" w:hAnsi="Garamond"/>
                <w:i/>
                <w:iCs/>
                <w:color w:val="7030A0"/>
              </w:rPr>
            </w:pPr>
            <w:r w:rsidRPr="006727B9">
              <w:rPr>
                <w:rStyle w:val="cf01"/>
                <w:rFonts w:ascii="Garamond" w:hAnsi="Garamond" w:cs="Times New Roman"/>
                <w:color w:val="7030A0"/>
                <w:sz w:val="24"/>
                <w:szCs w:val="24"/>
              </w:rPr>
              <w:t>Utilizar esta redação para contratos que prevejam a operação continuada de sistemas estruturantes de tecnologia da informação, cuja vigência se fundamenta no art. 114 da Lei n.º 14.133, de 2021.</w:t>
            </w:r>
          </w:p>
        </w:tc>
      </w:tr>
    </w:tbl>
    <w:p w14:paraId="24B8265A" w14:textId="77777777" w:rsidR="0022332C" w:rsidRPr="006727B9" w:rsidRDefault="0022332C" w:rsidP="0022332C">
      <w:pPr>
        <w:pStyle w:val="Nvel3-R"/>
        <w:numPr>
          <w:ilvl w:val="0"/>
          <w:numId w:val="0"/>
        </w:numPr>
        <w:rPr>
          <w:rFonts w:ascii="Garamond" w:hAnsi="Garamond" w:cs="Times New Roman"/>
          <w:sz w:val="24"/>
          <w:szCs w:val="24"/>
        </w:rPr>
      </w:pPr>
    </w:p>
    <w:p w14:paraId="1D86BC0B" w14:textId="77777777" w:rsidR="00A16317" w:rsidRPr="006727B9" w:rsidRDefault="00A16317" w:rsidP="0022332C">
      <w:pPr>
        <w:pStyle w:val="Nvel3-R"/>
        <w:numPr>
          <w:ilvl w:val="0"/>
          <w:numId w:val="0"/>
        </w:numPr>
        <w:rPr>
          <w:rFonts w:ascii="Garamond" w:hAnsi="Garamond" w:cs="Times New Roman"/>
          <w:sz w:val="24"/>
          <w:szCs w:val="24"/>
        </w:rPr>
      </w:pPr>
    </w:p>
    <w:p w14:paraId="7C8E1FB6" w14:textId="77777777" w:rsidR="00A16317" w:rsidRPr="006727B9" w:rsidRDefault="00A16317" w:rsidP="0022332C">
      <w:pPr>
        <w:pStyle w:val="Nvel3-R"/>
        <w:numPr>
          <w:ilvl w:val="0"/>
          <w:numId w:val="0"/>
        </w:numPr>
        <w:rPr>
          <w:rFonts w:ascii="Garamond" w:hAnsi="Garamond" w:cs="Times New Roman"/>
          <w:sz w:val="24"/>
          <w:szCs w:val="24"/>
        </w:rPr>
      </w:pPr>
    </w:p>
    <w:p w14:paraId="2EDC5E6D" w14:textId="634C52D7" w:rsidR="000F3675" w:rsidRPr="006727B9" w:rsidRDefault="000F3675" w:rsidP="000F3675">
      <w:pPr>
        <w:pStyle w:val="Nvel3-R"/>
        <w:numPr>
          <w:ilvl w:val="0"/>
          <w:numId w:val="0"/>
        </w:numPr>
        <w:jc w:val="center"/>
        <w:rPr>
          <w:rFonts w:ascii="Garamond" w:hAnsi="Garamond" w:cs="Times New Roman"/>
          <w:b/>
          <w:bCs/>
          <w:color w:val="70AD47" w:themeColor="accent6"/>
          <w:sz w:val="24"/>
          <w:szCs w:val="24"/>
          <w:u w:val="single"/>
        </w:rPr>
      </w:pPr>
      <w:r w:rsidRPr="006727B9">
        <w:rPr>
          <w:rFonts w:ascii="Garamond" w:hAnsi="Garamond" w:cs="Times New Roman"/>
          <w:b/>
          <w:bCs/>
          <w:color w:val="70AD47" w:themeColor="accent6"/>
          <w:sz w:val="24"/>
          <w:szCs w:val="24"/>
          <w:u w:val="single"/>
        </w:rPr>
        <w:t>OU</w:t>
      </w:r>
    </w:p>
    <w:p w14:paraId="19E920B1" w14:textId="77777777" w:rsidR="00A16317" w:rsidRPr="006727B9" w:rsidRDefault="00A16317" w:rsidP="00A16317">
      <w:pPr>
        <w:pStyle w:val="Nvel3-R"/>
        <w:numPr>
          <w:ilvl w:val="0"/>
          <w:numId w:val="0"/>
        </w:numPr>
        <w:rPr>
          <w:rFonts w:ascii="Garamond" w:hAnsi="Garamond" w:cs="Times New Roman"/>
          <w:color w:val="70AD47" w:themeColor="accent6"/>
          <w:sz w:val="24"/>
          <w:szCs w:val="24"/>
        </w:rPr>
      </w:pPr>
      <w:r w:rsidRPr="006727B9">
        <w:rPr>
          <w:rFonts w:ascii="Garamond" w:hAnsi="Garamond" w:cs="Times New Roman"/>
          <w:color w:val="70AD47" w:themeColor="accent6"/>
          <w:sz w:val="24"/>
          <w:szCs w:val="24"/>
        </w:rPr>
        <w:t>2.1 O prazo de vigência do Contrato é de ___________(dias/meses) (máximo de um ano), contados do(a) .........................  (data da ocorrência da emergência ou da calamidade), cuja eficácia se dará a partir da assinatura do contrato, na forma do art. 94, §1º, da Lei nº 14.133/2021, com posterior publicação no PNCP.</w:t>
      </w:r>
    </w:p>
    <w:p w14:paraId="1F97E432" w14:textId="77777777" w:rsidR="00A16317" w:rsidRPr="006727B9" w:rsidRDefault="00A16317" w:rsidP="00A16317">
      <w:pPr>
        <w:pStyle w:val="Nvel3-R"/>
        <w:numPr>
          <w:ilvl w:val="0"/>
          <w:numId w:val="0"/>
        </w:numPr>
        <w:rPr>
          <w:rFonts w:ascii="Garamond" w:hAnsi="Garamond" w:cs="Times New Roman"/>
          <w:color w:val="70AD47" w:themeColor="accent6"/>
          <w:sz w:val="24"/>
          <w:szCs w:val="24"/>
        </w:rPr>
      </w:pPr>
      <w:r w:rsidRPr="006727B9">
        <w:rPr>
          <w:rFonts w:ascii="Garamond" w:hAnsi="Garamond" w:cs="Times New Roman"/>
          <w:color w:val="70AD47" w:themeColor="accent6"/>
          <w:sz w:val="24"/>
          <w:szCs w:val="24"/>
        </w:rPr>
        <w:t>2.2 O prazo previsto no item 2.1 poderá ser prorrogado desde que o somatório não ultrapasse o período máximo de um ano.</w:t>
      </w:r>
    </w:p>
    <w:p w14:paraId="198A7159" w14:textId="7E8AF3EB" w:rsidR="00A16317" w:rsidRPr="006727B9" w:rsidRDefault="00A16317" w:rsidP="00A16317">
      <w:pPr>
        <w:pStyle w:val="Nvel3-R"/>
        <w:numPr>
          <w:ilvl w:val="0"/>
          <w:numId w:val="0"/>
        </w:numPr>
        <w:rPr>
          <w:rFonts w:ascii="Garamond" w:hAnsi="Garamond" w:cs="Times New Roman"/>
          <w:color w:val="70AD47" w:themeColor="accent6"/>
          <w:sz w:val="24"/>
          <w:szCs w:val="24"/>
        </w:rPr>
      </w:pPr>
      <w:r w:rsidRPr="006727B9">
        <w:rPr>
          <w:rFonts w:ascii="Garamond" w:hAnsi="Garamond" w:cs="Times New Roman"/>
          <w:color w:val="70AD47" w:themeColor="accent6"/>
          <w:sz w:val="24"/>
          <w:szCs w:val="24"/>
        </w:rPr>
        <w:t>2.3 É vedada a recontratação fundada na mesma situação emergencial ou calamitosa que motivou a primeira dispensa de licitação de empresa já contratada com base no art. 75, VIII, da Lei nº 14.133/2021.</w:t>
      </w:r>
    </w:p>
    <w:p w14:paraId="54AC42DA" w14:textId="77777777" w:rsidR="00020357" w:rsidRPr="006727B9" w:rsidRDefault="00020357" w:rsidP="00020357">
      <w:pPr>
        <w:pStyle w:val="Nvel3-R"/>
        <w:numPr>
          <w:ilvl w:val="0"/>
          <w:numId w:val="0"/>
        </w:numPr>
        <w:rPr>
          <w:rFonts w:ascii="Garamond" w:hAnsi="Garamond" w:cs="Times New Roman"/>
          <w:color w:val="70AD47" w:themeColor="accent6"/>
          <w:sz w:val="24"/>
          <w:szCs w:val="24"/>
        </w:rPr>
      </w:pPr>
      <w:r w:rsidRPr="006727B9">
        <w:rPr>
          <w:rFonts w:ascii="Garamond" w:hAnsi="Garamond" w:cs="Times New Roman"/>
          <w:color w:val="70AD47" w:themeColor="accent6"/>
          <w:sz w:val="24"/>
          <w:szCs w:val="24"/>
        </w:rPr>
        <w:t>2.4 A presente contratação não impede que a empresa participe de eventual licitação substitutiva à dispensa de licitação e seja contratada diretamente por outro fundamento previsto em lei, incluindo uma nova emergência ou calamidade pública, sem prejuízo do controle de abusos ou ilegalidades na aplicação da norma.</w:t>
      </w:r>
    </w:p>
    <w:p w14:paraId="23B7864E" w14:textId="77777777" w:rsidR="00020357" w:rsidRPr="006727B9" w:rsidRDefault="00020357" w:rsidP="00A16317">
      <w:pPr>
        <w:pStyle w:val="Nvel3-R"/>
        <w:numPr>
          <w:ilvl w:val="0"/>
          <w:numId w:val="0"/>
        </w:numPr>
        <w:rPr>
          <w:rFonts w:ascii="Garamond" w:hAnsi="Garamond" w:cs="Times New Roman"/>
          <w:color w:val="70AD47" w:themeColor="accent6"/>
          <w:sz w:val="24"/>
          <w:szCs w:val="24"/>
        </w:rPr>
      </w:pPr>
    </w:p>
    <w:tbl>
      <w:tblPr>
        <w:tblW w:w="0" w:type="auto"/>
        <w:tblLook w:val="04A0" w:firstRow="1" w:lastRow="0" w:firstColumn="1" w:lastColumn="0" w:noHBand="0" w:noVBand="1"/>
      </w:tblPr>
      <w:tblGrid>
        <w:gridCol w:w="1271"/>
        <w:gridCol w:w="7506"/>
      </w:tblGrid>
      <w:tr w:rsidR="00020357" w:rsidRPr="006727B9" w14:paraId="6A369795" w14:textId="77777777" w:rsidTr="00020357">
        <w:trPr>
          <w:trHeight w:val="385"/>
        </w:trPr>
        <w:tc>
          <w:tcPr>
            <w:tcW w:w="8777" w:type="dxa"/>
            <w:gridSpan w:val="2"/>
            <w:tcBorders>
              <w:top w:val="single" w:sz="4" w:space="0" w:color="auto"/>
              <w:left w:val="single" w:sz="4" w:space="0" w:color="auto"/>
              <w:bottom w:val="single" w:sz="4" w:space="0" w:color="auto"/>
              <w:right w:val="single" w:sz="4" w:space="0" w:color="auto"/>
            </w:tcBorders>
            <w:hideMark/>
          </w:tcPr>
          <w:p w14:paraId="3A304E3F" w14:textId="77777777" w:rsidR="00020357" w:rsidRPr="006727B9" w:rsidRDefault="00020357" w:rsidP="00020357">
            <w:pPr>
              <w:pStyle w:val="Nvel3-R"/>
              <w:numPr>
                <w:ilvl w:val="0"/>
                <w:numId w:val="0"/>
              </w:numPr>
              <w:ind w:left="284"/>
              <w:rPr>
                <w:rFonts w:ascii="Garamond" w:hAnsi="Garamond" w:cs="Times New Roman"/>
                <w:b/>
                <w:bCs/>
                <w:color w:val="70AD47" w:themeColor="accent6"/>
                <w:sz w:val="24"/>
                <w:szCs w:val="24"/>
              </w:rPr>
            </w:pPr>
            <w:r w:rsidRPr="006727B9">
              <w:rPr>
                <w:rFonts w:ascii="Garamond" w:hAnsi="Garamond" w:cs="Times New Roman"/>
                <w:b/>
                <w:bCs/>
                <w:color w:val="70AD47" w:themeColor="accent6"/>
                <w:sz w:val="24"/>
                <w:szCs w:val="24"/>
              </w:rPr>
              <w:lastRenderedPageBreak/>
              <w:t xml:space="preserve">Notas explicativas </w:t>
            </w:r>
          </w:p>
        </w:tc>
      </w:tr>
      <w:tr w:rsidR="00020357" w:rsidRPr="006727B9" w14:paraId="7E7E4790" w14:textId="77777777" w:rsidTr="00020357">
        <w:tc>
          <w:tcPr>
            <w:tcW w:w="1271" w:type="dxa"/>
            <w:tcBorders>
              <w:top w:val="single" w:sz="4" w:space="0" w:color="auto"/>
              <w:left w:val="single" w:sz="4" w:space="0" w:color="auto"/>
              <w:bottom w:val="single" w:sz="4" w:space="0" w:color="auto"/>
              <w:right w:val="single" w:sz="4" w:space="0" w:color="auto"/>
            </w:tcBorders>
            <w:hideMark/>
          </w:tcPr>
          <w:p w14:paraId="4B622105" w14:textId="77777777" w:rsidR="00020357" w:rsidRPr="006727B9" w:rsidRDefault="00020357" w:rsidP="00020357">
            <w:pPr>
              <w:pStyle w:val="Nvel3-R"/>
              <w:numPr>
                <w:ilvl w:val="0"/>
                <w:numId w:val="0"/>
              </w:numPr>
              <w:ind w:left="284"/>
              <w:rPr>
                <w:rFonts w:ascii="Garamond" w:hAnsi="Garamond" w:cs="Times New Roman"/>
                <w:b/>
                <w:bCs/>
                <w:color w:val="70AD47" w:themeColor="accent6"/>
                <w:sz w:val="24"/>
                <w:szCs w:val="24"/>
              </w:rPr>
            </w:pPr>
            <w:r w:rsidRPr="006727B9">
              <w:rPr>
                <w:rFonts w:ascii="Garamond" w:hAnsi="Garamond" w:cs="Times New Roman"/>
                <w:b/>
                <w:bCs/>
                <w:color w:val="70AD47" w:themeColor="accent6"/>
                <w:sz w:val="24"/>
                <w:szCs w:val="24"/>
              </w:rPr>
              <w:t xml:space="preserve">2.1 a 2.4 </w:t>
            </w:r>
          </w:p>
        </w:tc>
        <w:tc>
          <w:tcPr>
            <w:tcW w:w="7506" w:type="dxa"/>
            <w:tcBorders>
              <w:top w:val="single" w:sz="4" w:space="0" w:color="auto"/>
              <w:left w:val="single" w:sz="4" w:space="0" w:color="auto"/>
              <w:bottom w:val="single" w:sz="4" w:space="0" w:color="auto"/>
              <w:right w:val="single" w:sz="4" w:space="0" w:color="auto"/>
            </w:tcBorders>
          </w:tcPr>
          <w:p w14:paraId="0E999A41" w14:textId="77777777" w:rsidR="00020357" w:rsidRPr="006727B9" w:rsidRDefault="00020357" w:rsidP="00020357">
            <w:pPr>
              <w:pStyle w:val="Nvel3-R"/>
              <w:numPr>
                <w:ilvl w:val="0"/>
                <w:numId w:val="0"/>
              </w:numPr>
              <w:ind w:left="284"/>
              <w:rPr>
                <w:rFonts w:ascii="Garamond" w:hAnsi="Garamond" w:cs="Times New Roman"/>
                <w:color w:val="70AD47" w:themeColor="accent6"/>
                <w:sz w:val="24"/>
                <w:szCs w:val="24"/>
              </w:rPr>
            </w:pPr>
            <w:r w:rsidRPr="006727B9">
              <w:rPr>
                <w:rFonts w:ascii="Garamond" w:hAnsi="Garamond" w:cs="Times New Roman"/>
                <w:color w:val="70AD47" w:themeColor="accent6"/>
                <w:sz w:val="24"/>
                <w:szCs w:val="24"/>
              </w:rPr>
              <w:t>No caso de contratações emergenciais, devem ser adotadas as cláusulas acima.</w:t>
            </w:r>
          </w:p>
          <w:p w14:paraId="35BF767F" w14:textId="77777777" w:rsidR="00020357" w:rsidRPr="006727B9" w:rsidRDefault="00020357" w:rsidP="00020357">
            <w:pPr>
              <w:pStyle w:val="Nvel3-R"/>
              <w:numPr>
                <w:ilvl w:val="0"/>
                <w:numId w:val="0"/>
              </w:numPr>
              <w:ind w:left="284"/>
              <w:rPr>
                <w:rFonts w:ascii="Garamond" w:hAnsi="Garamond" w:cs="Times New Roman"/>
                <w:color w:val="70AD47" w:themeColor="accent6"/>
                <w:sz w:val="24"/>
                <w:szCs w:val="24"/>
              </w:rPr>
            </w:pPr>
            <w:r w:rsidRPr="006727B9">
              <w:rPr>
                <w:rFonts w:ascii="Garamond" w:hAnsi="Garamond" w:cs="Times New Roman"/>
                <w:color w:val="70AD47" w:themeColor="accent6"/>
                <w:sz w:val="24"/>
                <w:szCs w:val="24"/>
              </w:rPr>
              <w:t>A vedação à prorrogação prevista no art. 75, VIII, da Lei nº 14.133/2021 deve ser interpretada considerando o prazo máximo de 1 ano, ou seja, o que se veda são prorrogações para além do prazo de um ano, via de regra. A proibição de prorrogação se refere ao prazo máximo fixado pela legislação na contratação emergencial, mas isso não impede as prorrogações, nos contratos celebrados por prazos inferiores, até o limite legalmente fixado.</w:t>
            </w:r>
          </w:p>
          <w:p w14:paraId="47A7769D" w14:textId="6941B242" w:rsidR="00020357" w:rsidRPr="006727B9" w:rsidRDefault="00020357" w:rsidP="00020357">
            <w:pPr>
              <w:pStyle w:val="Nvel3-R"/>
              <w:numPr>
                <w:ilvl w:val="0"/>
                <w:numId w:val="0"/>
              </w:numPr>
              <w:ind w:left="284"/>
              <w:rPr>
                <w:rFonts w:ascii="Garamond" w:hAnsi="Garamond" w:cs="Times New Roman"/>
                <w:color w:val="70AD47" w:themeColor="accent6"/>
                <w:sz w:val="24"/>
                <w:szCs w:val="24"/>
              </w:rPr>
            </w:pPr>
            <w:r w:rsidRPr="006727B9">
              <w:rPr>
                <w:rFonts w:ascii="Garamond" w:hAnsi="Garamond" w:cs="Times New Roman"/>
                <w:color w:val="70AD47" w:themeColor="accent6"/>
                <w:sz w:val="24"/>
                <w:szCs w:val="24"/>
              </w:rPr>
              <w:t>Quanto à possibilidade de recontratação, o STF, na ADI 6890, julgou parcialmente procedente a ação direta de inconstitucionalidade, para dar interpretação conforme à Constituição ao Federal art. 75, inc. VIII, da Lei n. 14.133/2021, para restringir a vedação prevista no dispositivo à recontratação fundada na mesma situação emergencial ou calamitosa que motivou a primeira dispensa de licitação, nos termos da seguinte tese de julgamento, sendo constitucional a vedação à recontratação de empresa contratada diretamente por dispensa de licitação nos casos de emergência ou calamidade pública, prevista no inc. VIII do art. 75 da Lei n. 14.133/2021, incidindo sobre a recontratação fundada na mesma situação emergencial ou calamitosa que extrapole o prazo máximo legal de 1 (um) ano, e não impede que a empresa participe de eventual licitação substitutiva à dispensa de licitação e seja contratada diretamente por outro fundamento previsto em lei, incluindo uma nova emergência ou calamidade pública</w:t>
            </w:r>
          </w:p>
        </w:tc>
      </w:tr>
    </w:tbl>
    <w:p w14:paraId="1801C4BC" w14:textId="77777777" w:rsidR="00020357" w:rsidRPr="006727B9" w:rsidRDefault="00020357" w:rsidP="00A16317">
      <w:pPr>
        <w:pStyle w:val="Nvel3-R"/>
        <w:numPr>
          <w:ilvl w:val="0"/>
          <w:numId w:val="0"/>
        </w:numPr>
        <w:rPr>
          <w:rFonts w:ascii="Garamond" w:hAnsi="Garamond" w:cs="Times New Roman"/>
          <w:color w:val="70AD47" w:themeColor="accent6"/>
          <w:sz w:val="24"/>
          <w:szCs w:val="24"/>
        </w:rPr>
      </w:pPr>
    </w:p>
    <w:p w14:paraId="61A11B87" w14:textId="77777777" w:rsidR="00A16317" w:rsidRPr="006727B9" w:rsidRDefault="00A16317" w:rsidP="00A16317">
      <w:pPr>
        <w:pStyle w:val="Nvel3-R"/>
        <w:numPr>
          <w:ilvl w:val="0"/>
          <w:numId w:val="0"/>
        </w:numPr>
        <w:rPr>
          <w:rFonts w:ascii="Garamond" w:hAnsi="Garamond" w:cs="Times New Roman"/>
          <w:b/>
          <w:bCs/>
          <w:color w:val="70AD47" w:themeColor="accent6"/>
          <w:sz w:val="24"/>
          <w:szCs w:val="24"/>
          <w:u w:val="single"/>
        </w:rPr>
      </w:pPr>
    </w:p>
    <w:p w14:paraId="5A257387" w14:textId="77777777" w:rsidR="00381F54" w:rsidRPr="006727B9" w:rsidRDefault="00000000">
      <w:pPr>
        <w:pStyle w:val="Nvel2-Red"/>
        <w:rPr>
          <w:rFonts w:ascii="Garamond" w:hAnsi="Garamond" w:cs="Times New Roman"/>
          <w:i w:val="0"/>
          <w:iCs w:val="0"/>
          <w:color w:val="auto"/>
          <w:sz w:val="24"/>
          <w:szCs w:val="24"/>
        </w:rPr>
      </w:pPr>
      <w:r w:rsidRPr="006727B9">
        <w:rPr>
          <w:rFonts w:ascii="Garamond" w:hAnsi="Garamond" w:cs="Times New Roman"/>
          <w:i w:val="0"/>
          <w:iCs w:val="0"/>
          <w:color w:val="auto"/>
          <w:sz w:val="24"/>
          <w:szCs w:val="24"/>
        </w:rPr>
        <w:t>O contratado não tem direito subjetivo à prorrogação contratual.</w:t>
      </w:r>
    </w:p>
    <w:p w14:paraId="69CDD79C" w14:textId="77777777" w:rsidR="00381F54" w:rsidRPr="006727B9" w:rsidRDefault="00000000">
      <w:pPr>
        <w:pStyle w:val="Nvel2-Red"/>
        <w:rPr>
          <w:rFonts w:ascii="Garamond" w:hAnsi="Garamond" w:cs="Times New Roman"/>
          <w:i w:val="0"/>
          <w:iCs w:val="0"/>
          <w:color w:val="auto"/>
          <w:sz w:val="24"/>
          <w:szCs w:val="24"/>
        </w:rPr>
      </w:pPr>
      <w:r w:rsidRPr="006727B9">
        <w:rPr>
          <w:rFonts w:ascii="Garamond" w:hAnsi="Garamond" w:cs="Times New Roman"/>
          <w:i w:val="0"/>
          <w:iCs w:val="0"/>
          <w:color w:val="auto"/>
          <w:sz w:val="24"/>
          <w:szCs w:val="24"/>
        </w:rPr>
        <w:t>A prorrogação de contrato deverá ser promovida mediante celebração de termo aditivo.</w:t>
      </w:r>
    </w:p>
    <w:p w14:paraId="18D56626" w14:textId="77777777" w:rsidR="00381F54" w:rsidRPr="006727B9" w:rsidRDefault="00000000">
      <w:pPr>
        <w:pStyle w:val="Nvel2-Red"/>
        <w:rPr>
          <w:rFonts w:ascii="Garamond" w:hAnsi="Garamond" w:cs="Times New Roman"/>
          <w:i w:val="0"/>
          <w:iCs w:val="0"/>
          <w:color w:val="auto"/>
          <w:sz w:val="24"/>
          <w:szCs w:val="24"/>
        </w:rPr>
      </w:pPr>
      <w:r w:rsidRPr="006727B9">
        <w:rPr>
          <w:rFonts w:ascii="Garamond" w:hAnsi="Garamond" w:cs="Times New Roman"/>
          <w:i w:val="0"/>
          <w:iCs w:val="0"/>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4DBC778D"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TERCEIRA – MODELOS DE EXECUÇÃO E GESTÃO CONTRATUAIS (</w:t>
      </w:r>
      <w:hyperlink r:id="rId9" w:anchor="art92" w:tooltip="http://www.planalto.gov.br/ccivil_03/_ato2019-2022/2021/lei/L14133.htm#art92" w:history="1">
        <w:r w:rsidR="00381F54" w:rsidRPr="006727B9">
          <w:rPr>
            <w:rStyle w:val="Hyperlink"/>
            <w:rFonts w:ascii="Garamond" w:hAnsi="Garamond" w:cs="Times New Roman"/>
            <w:sz w:val="24"/>
            <w:szCs w:val="24"/>
          </w:rPr>
          <w:t>art. 92, IV, VII e XVIII)</w:t>
        </w:r>
      </w:hyperlink>
    </w:p>
    <w:p w14:paraId="52433B75"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O regime de execução contratual, os modelos de gestão e de execução, assim como os prazos e condições de conclusão, entrega, observação e recebimento do objeto constam no Termo de Referência, anexo a este Contrato.</w:t>
      </w:r>
    </w:p>
    <w:p w14:paraId="784CCC2B"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QUARTA – SUBCONTRATAÇÃO</w:t>
      </w:r>
    </w:p>
    <w:p w14:paraId="35419791"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Não será admitida a subcontratação do objeto contratual.</w:t>
      </w:r>
    </w:p>
    <w:p w14:paraId="30605897" w14:textId="77777777" w:rsidR="00381F54" w:rsidRPr="006727B9" w:rsidRDefault="00000000">
      <w:pPr>
        <w:pStyle w:val="ou"/>
        <w:rPr>
          <w:rFonts w:ascii="Garamond" w:hAnsi="Garamond" w:cs="Times New Roman"/>
          <w:lang w:eastAsia="zh-CN" w:bidi="hi-IN"/>
        </w:rPr>
      </w:pPr>
      <w:r w:rsidRPr="006727B9">
        <w:rPr>
          <w:rFonts w:ascii="Garamond" w:hAnsi="Garamond" w:cs="Times New Roman"/>
        </w:rPr>
        <w:t>OU</w:t>
      </w:r>
    </w:p>
    <w:p w14:paraId="7B335432"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lastRenderedPageBreak/>
        <w:t>É permitida a subcontratação parcial do objeto, até o limite de ......% (</w:t>
      </w:r>
      <w:proofErr w:type="gramStart"/>
      <w:r w:rsidRPr="006727B9">
        <w:rPr>
          <w:rFonts w:ascii="Garamond" w:hAnsi="Garamond" w:cs="Times New Roman"/>
          <w:sz w:val="24"/>
          <w:szCs w:val="24"/>
        </w:rPr>
        <w:t>.....</w:t>
      </w:r>
      <w:proofErr w:type="gramEnd"/>
      <w:r w:rsidRPr="006727B9">
        <w:rPr>
          <w:rFonts w:ascii="Garamond" w:hAnsi="Garamond" w:cs="Times New Roman"/>
          <w:sz w:val="24"/>
          <w:szCs w:val="24"/>
        </w:rPr>
        <w:t xml:space="preserve"> por cento) do valor total do contrato, nas seguintes condições:</w:t>
      </w:r>
    </w:p>
    <w:tbl>
      <w:tblPr>
        <w:tblStyle w:val="Tabelacomgrade"/>
        <w:tblW w:w="0" w:type="auto"/>
        <w:tblLook w:val="04A0" w:firstRow="1" w:lastRow="0" w:firstColumn="1" w:lastColumn="0" w:noHBand="0" w:noVBand="1"/>
      </w:tblPr>
      <w:tblGrid>
        <w:gridCol w:w="1133"/>
        <w:gridCol w:w="7927"/>
      </w:tblGrid>
      <w:tr w:rsidR="00381F54" w:rsidRPr="006727B9" w14:paraId="47C2AB35" w14:textId="77777777">
        <w:trPr>
          <w:trHeight w:val="385"/>
        </w:trPr>
        <w:tc>
          <w:tcPr>
            <w:tcW w:w="9832" w:type="dxa"/>
            <w:gridSpan w:val="2"/>
          </w:tcPr>
          <w:p w14:paraId="7B31FCF8"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323236F8" w14:textId="77777777">
        <w:tc>
          <w:tcPr>
            <w:tcW w:w="1195" w:type="dxa"/>
          </w:tcPr>
          <w:p w14:paraId="122EE680"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4.2</w:t>
            </w:r>
          </w:p>
        </w:tc>
        <w:tc>
          <w:tcPr>
            <w:tcW w:w="8637" w:type="dxa"/>
          </w:tcPr>
          <w:p w14:paraId="2C4D729A" w14:textId="77777777" w:rsidR="00381F54" w:rsidRPr="006727B9" w:rsidRDefault="00000000">
            <w:pPr>
              <w:pStyle w:val="pf0"/>
              <w:rPr>
                <w:rFonts w:ascii="Garamond" w:hAnsi="Garamond"/>
                <w:i/>
                <w:iCs/>
              </w:rPr>
            </w:pPr>
            <w:r w:rsidRPr="006727B9">
              <w:rPr>
                <w:rStyle w:val="cf01"/>
                <w:rFonts w:ascii="Garamond" w:hAnsi="Garamond" w:cs="Times New Roman"/>
                <w:sz w:val="24"/>
                <w:szCs w:val="24"/>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tc>
      </w:tr>
    </w:tbl>
    <w:p w14:paraId="4B738456" w14:textId="77777777" w:rsidR="00381F54" w:rsidRPr="006727B9" w:rsidRDefault="00381F54">
      <w:pPr>
        <w:pStyle w:val="Nvel2-Red"/>
        <w:numPr>
          <w:ilvl w:val="0"/>
          <w:numId w:val="0"/>
        </w:numPr>
        <w:rPr>
          <w:rFonts w:ascii="Garamond" w:hAnsi="Garamond" w:cs="Times New Roman"/>
          <w:sz w:val="24"/>
          <w:szCs w:val="24"/>
        </w:rPr>
      </w:pPr>
    </w:p>
    <w:p w14:paraId="29A8B295"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 É vedada a subcontratação completa ou da parcela principal da obrigação, abaixo discriminada:</w:t>
      </w:r>
    </w:p>
    <w:p w14:paraId="47D7C1B7" w14:textId="77777777" w:rsidR="00381F54" w:rsidRPr="006727B9" w:rsidRDefault="00000000">
      <w:pPr>
        <w:pStyle w:val="Nvel4-R"/>
        <w:rPr>
          <w:rFonts w:ascii="Garamond" w:hAnsi="Garamond" w:cs="Times New Roman"/>
          <w:sz w:val="24"/>
          <w:szCs w:val="24"/>
        </w:rPr>
      </w:pPr>
      <w:r w:rsidRPr="006727B9">
        <w:rPr>
          <w:rFonts w:ascii="Garamond" w:hAnsi="Garamond" w:cs="Times New Roman"/>
          <w:sz w:val="24"/>
          <w:szCs w:val="24"/>
        </w:rPr>
        <w:t>...</w:t>
      </w:r>
    </w:p>
    <w:p w14:paraId="3B2F5D2D" w14:textId="77777777" w:rsidR="00381F54" w:rsidRPr="006727B9" w:rsidRDefault="00000000">
      <w:pPr>
        <w:pStyle w:val="Nvel4-R"/>
        <w:rPr>
          <w:rFonts w:ascii="Garamond" w:hAnsi="Garamond" w:cs="Times New Roman"/>
          <w:sz w:val="24"/>
          <w:szCs w:val="24"/>
        </w:rPr>
      </w:pPr>
      <w:r w:rsidRPr="006727B9">
        <w:rPr>
          <w:rFonts w:ascii="Garamond" w:hAnsi="Garamond" w:cs="Times New Roman"/>
          <w:sz w:val="24"/>
          <w:szCs w:val="24"/>
        </w:rPr>
        <w:t>...</w:t>
      </w:r>
    </w:p>
    <w:p w14:paraId="23165D11"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Poderão ser subcontratadas as seguintes parcelas do objeto: </w:t>
      </w:r>
    </w:p>
    <w:p w14:paraId="2BFD2739" w14:textId="77777777" w:rsidR="00381F54" w:rsidRPr="006727B9" w:rsidRDefault="00000000">
      <w:pPr>
        <w:pStyle w:val="Nvel4-R"/>
        <w:rPr>
          <w:rFonts w:ascii="Garamond" w:hAnsi="Garamond" w:cs="Times New Roman"/>
          <w:sz w:val="24"/>
          <w:szCs w:val="24"/>
        </w:rPr>
      </w:pPr>
      <w:r w:rsidRPr="006727B9">
        <w:rPr>
          <w:rFonts w:ascii="Garamond" w:hAnsi="Garamond" w:cs="Times New Roman"/>
          <w:sz w:val="24"/>
          <w:szCs w:val="24"/>
        </w:rPr>
        <w:t xml:space="preserve">.... </w:t>
      </w:r>
    </w:p>
    <w:p w14:paraId="29D68B94" w14:textId="77777777" w:rsidR="00381F54" w:rsidRPr="006727B9" w:rsidRDefault="00000000">
      <w:pPr>
        <w:pStyle w:val="Nvel4-R"/>
        <w:rPr>
          <w:rFonts w:ascii="Garamond" w:hAnsi="Garamond" w:cs="Times New Roman"/>
          <w:sz w:val="24"/>
          <w:szCs w:val="24"/>
        </w:rPr>
      </w:pPr>
      <w:r w:rsidRPr="006727B9">
        <w:rPr>
          <w:rFonts w:ascii="Garamond" w:hAnsi="Garamond" w:cs="Times New Roman"/>
          <w:sz w:val="24"/>
          <w:szCs w:val="24"/>
        </w:rPr>
        <w:t>....</w:t>
      </w:r>
    </w:p>
    <w:tbl>
      <w:tblPr>
        <w:tblStyle w:val="Tabelacomgrade"/>
        <w:tblW w:w="0" w:type="auto"/>
        <w:tblLook w:val="04A0" w:firstRow="1" w:lastRow="0" w:firstColumn="1" w:lastColumn="0" w:noHBand="0" w:noVBand="1"/>
      </w:tblPr>
      <w:tblGrid>
        <w:gridCol w:w="1147"/>
        <w:gridCol w:w="7913"/>
      </w:tblGrid>
      <w:tr w:rsidR="00381F54" w:rsidRPr="006727B9" w14:paraId="1825B198" w14:textId="77777777">
        <w:trPr>
          <w:trHeight w:val="385"/>
        </w:trPr>
        <w:tc>
          <w:tcPr>
            <w:tcW w:w="9832" w:type="dxa"/>
            <w:gridSpan w:val="2"/>
          </w:tcPr>
          <w:p w14:paraId="26B56663"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4A65CFB9" w14:textId="77777777">
        <w:tc>
          <w:tcPr>
            <w:tcW w:w="1195" w:type="dxa"/>
          </w:tcPr>
          <w:p w14:paraId="791ACE96"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4.2.2</w:t>
            </w:r>
          </w:p>
        </w:tc>
        <w:tc>
          <w:tcPr>
            <w:tcW w:w="8637" w:type="dxa"/>
          </w:tcPr>
          <w:p w14:paraId="14743D71" w14:textId="77777777" w:rsidR="00381F54" w:rsidRPr="006727B9" w:rsidRDefault="00000000">
            <w:pPr>
              <w:pStyle w:val="pf0"/>
              <w:rPr>
                <w:rFonts w:ascii="Garamond" w:hAnsi="Garamond"/>
                <w:i/>
                <w:iCs/>
              </w:rPr>
            </w:pPr>
            <w:r w:rsidRPr="006727B9">
              <w:rPr>
                <w:rStyle w:val="cf01"/>
                <w:rFonts w:ascii="Garamond" w:hAnsi="Garamond" w:cs="Times New Roman"/>
                <w:sz w:val="24"/>
                <w:szCs w:val="24"/>
              </w:rPr>
              <w:t>Em havendo a necessidade de inclusão de outras especificações técnicas quanto à subcontratação, deverão ser inseridas no tópico 4.2.2</w:t>
            </w:r>
          </w:p>
        </w:tc>
      </w:tr>
    </w:tbl>
    <w:p w14:paraId="3EDEC479" w14:textId="77777777" w:rsidR="00381F54" w:rsidRPr="006727B9" w:rsidRDefault="00381F54">
      <w:pPr>
        <w:pStyle w:val="Nvel4-R"/>
        <w:numPr>
          <w:ilvl w:val="0"/>
          <w:numId w:val="0"/>
        </w:numPr>
        <w:ind w:left="851"/>
        <w:rPr>
          <w:rFonts w:ascii="Garamond" w:hAnsi="Garamond" w:cs="Times New Roman"/>
          <w:sz w:val="24"/>
          <w:szCs w:val="24"/>
        </w:rPr>
      </w:pPr>
    </w:p>
    <w:p w14:paraId="03242EC0"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1E223898"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A subcontratação depende de autorização prévia do contratante, a quem incumbe avaliar se o subcontratado cumpre os requisitos de qualificação técnica necessários para a execução do objeto.</w:t>
      </w:r>
    </w:p>
    <w:p w14:paraId="21E1E595"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O contratado apresentará à Administração documentação que comprove a capacidade técnica do subcontratado, que será avaliada e juntada aos autos do processo correspondente.</w:t>
      </w:r>
    </w:p>
    <w:p w14:paraId="72313EBF"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66411960"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QUINTA – PREÇO (</w:t>
      </w:r>
      <w:hyperlink r:id="rId10" w:anchor="art92" w:tooltip="http://www.planalto.gov.br/ccivil_03/_ato2019-2022/2021/lei/L14133.htm#art92" w:history="1">
        <w:r w:rsidR="00381F54" w:rsidRPr="006727B9">
          <w:rPr>
            <w:rStyle w:val="Hyperlink"/>
            <w:rFonts w:ascii="Garamond" w:hAnsi="Garamond" w:cs="Times New Roman"/>
            <w:sz w:val="24"/>
            <w:szCs w:val="24"/>
          </w:rPr>
          <w:t>art. 92, V)</w:t>
        </w:r>
      </w:hyperlink>
    </w:p>
    <w:p w14:paraId="6A77589B"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lang w:eastAsia="en-US"/>
        </w:rPr>
        <w:t xml:space="preserve">O valor mensal da </w:t>
      </w:r>
      <w:r w:rsidRPr="006727B9">
        <w:rPr>
          <w:rFonts w:ascii="Garamond" w:hAnsi="Garamond" w:cs="Times New Roman"/>
          <w:sz w:val="24"/>
          <w:szCs w:val="24"/>
        </w:rPr>
        <w:t>contratação</w:t>
      </w:r>
      <w:r w:rsidRPr="006727B9">
        <w:rPr>
          <w:rFonts w:ascii="Garamond" w:hAnsi="Garamond" w:cs="Times New Roman"/>
          <w:sz w:val="24"/>
          <w:szCs w:val="24"/>
          <w:lang w:eastAsia="en-US"/>
        </w:rPr>
        <w:t xml:space="preserve"> é de R$ .......... (</w:t>
      </w:r>
      <w:proofErr w:type="gramStart"/>
      <w:r w:rsidRPr="006727B9">
        <w:rPr>
          <w:rFonts w:ascii="Garamond" w:hAnsi="Garamond" w:cs="Times New Roman"/>
          <w:sz w:val="24"/>
          <w:szCs w:val="24"/>
          <w:lang w:eastAsia="en-US"/>
        </w:rPr>
        <w:t>.....</w:t>
      </w:r>
      <w:proofErr w:type="gramEnd"/>
      <w:r w:rsidRPr="006727B9">
        <w:rPr>
          <w:rFonts w:ascii="Garamond" w:hAnsi="Garamond" w:cs="Times New Roman"/>
          <w:sz w:val="24"/>
          <w:szCs w:val="24"/>
          <w:lang w:eastAsia="en-US"/>
        </w:rPr>
        <w:t>), perfazendo o valor total de R$ ....... (....).</w:t>
      </w:r>
    </w:p>
    <w:p w14:paraId="7F8F1F40" w14:textId="77777777" w:rsidR="00381F54" w:rsidRPr="006727B9" w:rsidRDefault="00000000">
      <w:pPr>
        <w:pStyle w:val="ou"/>
        <w:rPr>
          <w:rFonts w:ascii="Garamond" w:hAnsi="Garamond" w:cs="Times New Roman"/>
        </w:rPr>
      </w:pPr>
      <w:r w:rsidRPr="006727B9">
        <w:rPr>
          <w:rFonts w:ascii="Garamond" w:hAnsi="Garamond" w:cs="Times New Roman"/>
          <w:lang w:eastAsia="en-US"/>
        </w:rPr>
        <w:t>OU</w:t>
      </w:r>
    </w:p>
    <w:p w14:paraId="30AEDE80" w14:textId="77777777" w:rsidR="00381F54" w:rsidRPr="006727B9" w:rsidRDefault="00000000">
      <w:pPr>
        <w:pStyle w:val="Nvel2-Red"/>
        <w:numPr>
          <w:ilvl w:val="1"/>
          <w:numId w:val="9"/>
        </w:numPr>
        <w:rPr>
          <w:rFonts w:ascii="Garamond" w:hAnsi="Garamond" w:cs="Times New Roman"/>
          <w:sz w:val="24"/>
          <w:szCs w:val="24"/>
        </w:rPr>
      </w:pPr>
      <w:r w:rsidRPr="006727B9">
        <w:rPr>
          <w:rFonts w:ascii="Garamond" w:hAnsi="Garamond" w:cs="Times New Roman"/>
          <w:sz w:val="24"/>
          <w:szCs w:val="24"/>
        </w:rPr>
        <w:lastRenderedPageBreak/>
        <w:t xml:space="preserve">        O valor total máximo da contratação é de R$.......... (.....)</w:t>
      </w:r>
    </w:p>
    <w:tbl>
      <w:tblPr>
        <w:tblStyle w:val="Tabelacomgrade"/>
        <w:tblW w:w="0" w:type="auto"/>
        <w:tblLook w:val="04A0" w:firstRow="1" w:lastRow="0" w:firstColumn="1" w:lastColumn="0" w:noHBand="0" w:noVBand="1"/>
      </w:tblPr>
      <w:tblGrid>
        <w:gridCol w:w="1132"/>
        <w:gridCol w:w="7928"/>
      </w:tblGrid>
      <w:tr w:rsidR="00381F54" w:rsidRPr="006727B9" w14:paraId="29CEEBEC" w14:textId="77777777">
        <w:trPr>
          <w:trHeight w:val="385"/>
        </w:trPr>
        <w:tc>
          <w:tcPr>
            <w:tcW w:w="9060" w:type="dxa"/>
            <w:gridSpan w:val="2"/>
          </w:tcPr>
          <w:p w14:paraId="3F9A9EE7"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31F8B891" w14:textId="77777777">
        <w:tc>
          <w:tcPr>
            <w:tcW w:w="1132" w:type="dxa"/>
          </w:tcPr>
          <w:p w14:paraId="023D74B6"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5.1</w:t>
            </w:r>
          </w:p>
        </w:tc>
        <w:tc>
          <w:tcPr>
            <w:tcW w:w="7928" w:type="dxa"/>
          </w:tcPr>
          <w:p w14:paraId="0AB31188" w14:textId="77777777" w:rsidR="00381F54" w:rsidRPr="006727B9" w:rsidRDefault="00000000">
            <w:pPr>
              <w:spacing w:before="100" w:beforeAutospacing="1" w:after="100" w:afterAutospacing="1"/>
              <w:rPr>
                <w:rFonts w:ascii="Garamond" w:eastAsia="Times New Roman" w:hAnsi="Garamond"/>
                <w:sz w:val="24"/>
                <w:szCs w:val="24"/>
              </w:rPr>
            </w:pPr>
            <w:r w:rsidRPr="006727B9">
              <w:rPr>
                <w:rFonts w:ascii="Garamond" w:eastAsia="Times New Roman" w:hAnsi="Garamond"/>
                <w:i/>
                <w:iCs/>
                <w:sz w:val="24"/>
                <w:szCs w:val="24"/>
              </w:rPr>
              <w:t xml:space="preserve">A Lei n.º 14.133, de 2021 em seu artigo 25, §7º fixou a necessidade da estipulação no contrato, </w:t>
            </w:r>
            <w:r w:rsidRPr="006727B9">
              <w:rPr>
                <w:rFonts w:ascii="Garamond" w:eastAsia="Times New Roman" w:hAnsi="Garamond"/>
                <w:b/>
                <w:bCs/>
                <w:i/>
                <w:iCs/>
                <w:sz w:val="24"/>
                <w:szCs w:val="24"/>
              </w:rPr>
              <w:t>independente do prazo de sua duração</w:t>
            </w:r>
            <w:r w:rsidRPr="006727B9">
              <w:rPr>
                <w:rFonts w:ascii="Garamond" w:eastAsia="Times New Roman" w:hAnsi="Garamond"/>
                <w:i/>
                <w:iCs/>
                <w:sz w:val="24"/>
                <w:szCs w:val="24"/>
              </w:rPr>
              <w:t xml:space="preserve">, de índice de reajustamento de preço, com data-base vinculada à data do orçamento estimado. </w:t>
            </w:r>
          </w:p>
          <w:p w14:paraId="12B456B8" w14:textId="77777777" w:rsidR="00381F54" w:rsidRPr="006727B9" w:rsidRDefault="00000000">
            <w:pPr>
              <w:spacing w:before="100" w:beforeAutospacing="1" w:after="100" w:afterAutospacing="1"/>
              <w:rPr>
                <w:rFonts w:ascii="Garamond" w:eastAsia="Times New Roman" w:hAnsi="Garamond"/>
                <w:sz w:val="24"/>
                <w:szCs w:val="24"/>
              </w:rPr>
            </w:pPr>
            <w:r w:rsidRPr="006727B9">
              <w:rPr>
                <w:rFonts w:ascii="Garamond" w:eastAsia="Times New Roman" w:hAnsi="Garamond"/>
                <w:i/>
                <w:iCs/>
                <w:sz w:val="24"/>
                <w:szCs w:val="24"/>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2B6F7FD1" w14:textId="77777777" w:rsidR="00381F54" w:rsidRPr="006727B9" w:rsidRDefault="00000000">
            <w:pPr>
              <w:spacing w:before="100" w:beforeAutospacing="1" w:after="100" w:afterAutospacing="1"/>
              <w:rPr>
                <w:rFonts w:ascii="Garamond" w:eastAsia="Times New Roman" w:hAnsi="Garamond"/>
                <w:i/>
                <w:iCs/>
                <w:sz w:val="24"/>
                <w:szCs w:val="24"/>
              </w:rPr>
            </w:pPr>
            <w:r w:rsidRPr="006727B9">
              <w:rPr>
                <w:rFonts w:ascii="Garamond" w:eastAsia="Times New Roman" w:hAnsi="Garamond"/>
                <w:i/>
                <w:iCs/>
                <w:sz w:val="24"/>
                <w:szCs w:val="24"/>
              </w:rPr>
              <w:t xml:space="preserve">Importa enfatizar que o marco inicial para a contagem da anualidade é a </w:t>
            </w:r>
            <w:r w:rsidRPr="006727B9">
              <w:rPr>
                <w:rFonts w:ascii="Garamond" w:eastAsia="Times New Roman" w:hAnsi="Garamond"/>
                <w:b/>
                <w:bCs/>
                <w:i/>
                <w:iCs/>
                <w:sz w:val="24"/>
                <w:szCs w:val="24"/>
              </w:rPr>
              <w:t>data do orçamento estimado</w:t>
            </w:r>
            <w:r w:rsidRPr="006727B9">
              <w:rPr>
                <w:rFonts w:ascii="Garamond" w:eastAsia="Times New Roman" w:hAnsi="Garamond"/>
                <w:i/>
                <w:iCs/>
                <w:sz w:val="24"/>
                <w:szCs w:val="24"/>
              </w:rPr>
              <w:t>, o que representa um aperfeiçoamento em relação à sistemática anterior. Isso torna indispensável que o orçamento contenha a data específica a que se refere.</w:t>
            </w:r>
          </w:p>
          <w:p w14:paraId="6F873B3E" w14:textId="77777777" w:rsidR="00381F54" w:rsidRPr="006727B9" w:rsidRDefault="00000000">
            <w:pPr>
              <w:pStyle w:val="pf0"/>
              <w:rPr>
                <w:rFonts w:ascii="Garamond" w:hAnsi="Garamond"/>
                <w:i/>
                <w:iCs/>
              </w:rPr>
            </w:pPr>
            <w:r w:rsidRPr="006727B9">
              <w:rPr>
                <w:rStyle w:val="cf01"/>
                <w:rFonts w:ascii="Garamond" w:hAnsi="Garamond" w:cs="Times New Roman"/>
                <w:sz w:val="24"/>
                <w:szCs w:val="24"/>
              </w:rPr>
              <w:t>O cômputo do valor total do Termo de Contrato levará em conta o período inicial de vigência estabelecido.</w:t>
            </w:r>
          </w:p>
        </w:tc>
      </w:tr>
    </w:tbl>
    <w:p w14:paraId="2DCD5849" w14:textId="77777777" w:rsidR="00381F54" w:rsidRPr="006727B9" w:rsidRDefault="00381F54">
      <w:pPr>
        <w:pStyle w:val="Nvel2-Red"/>
        <w:numPr>
          <w:ilvl w:val="0"/>
          <w:numId w:val="0"/>
        </w:numPr>
        <w:rPr>
          <w:rFonts w:ascii="Garamond" w:hAnsi="Garamond" w:cs="Times New Roman"/>
          <w:sz w:val="24"/>
          <w:szCs w:val="24"/>
        </w:rPr>
      </w:pPr>
    </w:p>
    <w:p w14:paraId="39C0B88B"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1748609"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Os pagamentos devidos ao CONTRATADO dependerão dos quantitativos efetivamente fornecidos.</w:t>
      </w:r>
    </w:p>
    <w:p w14:paraId="5E46E36E"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O valor acima é meramente estimativo, de forma que os pagamentos devidos ao contratado observarão o disposto no item 5.3.</w:t>
      </w:r>
    </w:p>
    <w:p w14:paraId="608FDCD5" w14:textId="77777777" w:rsidR="00381F54" w:rsidRPr="006727B9" w:rsidRDefault="00381F54">
      <w:pPr>
        <w:pStyle w:val="Nvel2-Red"/>
        <w:numPr>
          <w:ilvl w:val="0"/>
          <w:numId w:val="0"/>
        </w:numPr>
        <w:rPr>
          <w:rFonts w:ascii="Garamond" w:hAnsi="Garamond" w:cs="Times New Roman"/>
          <w:sz w:val="24"/>
          <w:szCs w:val="24"/>
        </w:rPr>
      </w:pPr>
    </w:p>
    <w:tbl>
      <w:tblPr>
        <w:tblStyle w:val="Tabelacomgrade"/>
        <w:tblW w:w="0" w:type="auto"/>
        <w:tblLook w:val="04A0" w:firstRow="1" w:lastRow="0" w:firstColumn="1" w:lastColumn="0" w:noHBand="0" w:noVBand="1"/>
      </w:tblPr>
      <w:tblGrid>
        <w:gridCol w:w="1133"/>
        <w:gridCol w:w="7927"/>
      </w:tblGrid>
      <w:tr w:rsidR="00381F54" w:rsidRPr="006727B9" w14:paraId="4DBF376F" w14:textId="77777777">
        <w:trPr>
          <w:trHeight w:val="385"/>
        </w:trPr>
        <w:tc>
          <w:tcPr>
            <w:tcW w:w="9832" w:type="dxa"/>
            <w:gridSpan w:val="2"/>
          </w:tcPr>
          <w:p w14:paraId="0A17CA79"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22B508C5" w14:textId="77777777">
        <w:tc>
          <w:tcPr>
            <w:tcW w:w="1195" w:type="dxa"/>
          </w:tcPr>
          <w:p w14:paraId="3BBE6EFF"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5.3</w:t>
            </w:r>
          </w:p>
        </w:tc>
        <w:tc>
          <w:tcPr>
            <w:tcW w:w="8637" w:type="dxa"/>
          </w:tcPr>
          <w:p w14:paraId="13B50607" w14:textId="77777777" w:rsidR="00381F54" w:rsidRPr="006727B9" w:rsidRDefault="00000000">
            <w:pPr>
              <w:pStyle w:val="pf0"/>
              <w:rPr>
                <w:rFonts w:ascii="Garamond" w:hAnsi="Garamond"/>
                <w:i/>
                <w:iCs/>
              </w:rPr>
            </w:pPr>
            <w:r w:rsidRPr="006727B9">
              <w:rPr>
                <w:rStyle w:val="cf01"/>
                <w:rFonts w:ascii="Garamond" w:hAnsi="Garamond" w:cs="Times New Roman"/>
                <w:sz w:val="24"/>
                <w:szCs w:val="24"/>
              </w:rPr>
              <w:t>Caso se trate de contrato de valor estimativo, em que a própria demanda é variável, cabe inserir o subitem acima.</w:t>
            </w:r>
          </w:p>
        </w:tc>
      </w:tr>
    </w:tbl>
    <w:p w14:paraId="161E3952" w14:textId="77777777" w:rsidR="00381F54" w:rsidRPr="006727B9" w:rsidRDefault="00381F54">
      <w:pPr>
        <w:pStyle w:val="Nvel2-Red"/>
        <w:numPr>
          <w:ilvl w:val="0"/>
          <w:numId w:val="0"/>
        </w:numPr>
        <w:rPr>
          <w:rFonts w:ascii="Garamond" w:hAnsi="Garamond" w:cs="Times New Roman"/>
          <w:sz w:val="24"/>
          <w:szCs w:val="24"/>
        </w:rPr>
      </w:pPr>
    </w:p>
    <w:p w14:paraId="2089CAC5"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SEXTA - PAGAMENTO (</w:t>
      </w:r>
      <w:hyperlink r:id="rId11" w:anchor="art92" w:tooltip="http://www.planalto.gov.br/ccivil_03/_ato2019-2022/2021/lei/L14133.htm#art92" w:history="1">
        <w:r w:rsidR="00381F54" w:rsidRPr="006727B9">
          <w:rPr>
            <w:rStyle w:val="Hyperlink"/>
            <w:rFonts w:ascii="Garamond" w:hAnsi="Garamond" w:cs="Times New Roman"/>
            <w:sz w:val="24"/>
            <w:szCs w:val="24"/>
          </w:rPr>
          <w:t>art. 92, V e VI</w:t>
        </w:r>
      </w:hyperlink>
      <w:r w:rsidRPr="006727B9">
        <w:rPr>
          <w:rFonts w:ascii="Garamond" w:hAnsi="Garamond" w:cs="Times New Roman"/>
          <w:sz w:val="24"/>
          <w:szCs w:val="24"/>
        </w:rPr>
        <w:t>)</w:t>
      </w:r>
    </w:p>
    <w:p w14:paraId="6134A215"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O CONTRATANTE deverá pagar ao CONTRATADO o valor total de </w:t>
      </w:r>
      <w:r w:rsidRPr="006727B9">
        <w:rPr>
          <w:rFonts w:ascii="Garamond" w:hAnsi="Garamond" w:cs="Times New Roman"/>
          <w:color w:val="EE0000"/>
          <w:sz w:val="24"/>
          <w:szCs w:val="24"/>
        </w:rPr>
        <w:t>R$ ......... (</w:t>
      </w:r>
      <w:proofErr w:type="gramStart"/>
      <w:r w:rsidRPr="006727B9">
        <w:rPr>
          <w:rFonts w:ascii="Garamond" w:hAnsi="Garamond" w:cs="Times New Roman"/>
          <w:color w:val="EE0000"/>
          <w:sz w:val="24"/>
          <w:szCs w:val="24"/>
        </w:rPr>
        <w:t>.....</w:t>
      </w:r>
      <w:proofErr w:type="gramEnd"/>
      <w:r w:rsidRPr="006727B9">
        <w:rPr>
          <w:rFonts w:ascii="Garamond" w:hAnsi="Garamond" w:cs="Times New Roman"/>
          <w:color w:val="EE0000"/>
          <w:sz w:val="24"/>
          <w:szCs w:val="24"/>
        </w:rPr>
        <w:t xml:space="preserve">), </w:t>
      </w:r>
      <w:r w:rsidRPr="006727B9">
        <w:rPr>
          <w:rFonts w:ascii="Garamond" w:hAnsi="Garamond" w:cs="Times New Roman"/>
          <w:sz w:val="24"/>
          <w:szCs w:val="24"/>
        </w:rPr>
        <w:t xml:space="preserve">em </w:t>
      </w:r>
      <w:r w:rsidRPr="006727B9">
        <w:rPr>
          <w:rFonts w:ascii="Garamond" w:hAnsi="Garamond" w:cs="Times New Roman"/>
          <w:color w:val="EE0000"/>
          <w:sz w:val="24"/>
          <w:szCs w:val="24"/>
        </w:rPr>
        <w:t>...... (</w:t>
      </w:r>
      <w:proofErr w:type="gramStart"/>
      <w:r w:rsidRPr="006727B9">
        <w:rPr>
          <w:rFonts w:ascii="Garamond" w:hAnsi="Garamond" w:cs="Times New Roman"/>
          <w:color w:val="EE0000"/>
          <w:sz w:val="24"/>
          <w:szCs w:val="24"/>
        </w:rPr>
        <w:t>.....</w:t>
      </w:r>
      <w:proofErr w:type="gramEnd"/>
      <w:r w:rsidRPr="006727B9">
        <w:rPr>
          <w:rFonts w:ascii="Garamond" w:hAnsi="Garamond" w:cs="Times New Roman"/>
          <w:color w:val="EE0000"/>
          <w:sz w:val="24"/>
          <w:szCs w:val="24"/>
        </w:rPr>
        <w:t xml:space="preserve">) </w:t>
      </w:r>
      <w:r w:rsidRPr="006727B9">
        <w:rPr>
          <w:rFonts w:ascii="Garamond" w:hAnsi="Garamond" w:cs="Times New Roman"/>
          <w:sz w:val="24"/>
          <w:szCs w:val="24"/>
        </w:rPr>
        <w:t xml:space="preserve">parcelas, no valor de </w:t>
      </w:r>
      <w:r w:rsidRPr="006727B9">
        <w:rPr>
          <w:rFonts w:ascii="Garamond" w:hAnsi="Garamond" w:cs="Times New Roman"/>
          <w:color w:val="EE0000"/>
          <w:sz w:val="24"/>
          <w:szCs w:val="24"/>
        </w:rPr>
        <w:t>R$ ........ (</w:t>
      </w:r>
      <w:proofErr w:type="gramStart"/>
      <w:r w:rsidRPr="006727B9">
        <w:rPr>
          <w:rFonts w:ascii="Garamond" w:hAnsi="Garamond" w:cs="Times New Roman"/>
          <w:color w:val="EE0000"/>
          <w:sz w:val="24"/>
          <w:szCs w:val="24"/>
        </w:rPr>
        <w:t>.....</w:t>
      </w:r>
      <w:proofErr w:type="gramEnd"/>
      <w:r w:rsidRPr="006727B9">
        <w:rPr>
          <w:rFonts w:ascii="Garamond" w:hAnsi="Garamond" w:cs="Times New Roman"/>
          <w:color w:val="EE0000"/>
          <w:sz w:val="24"/>
          <w:szCs w:val="24"/>
        </w:rPr>
        <w:t xml:space="preserve">), </w:t>
      </w:r>
      <w:r w:rsidRPr="006727B9">
        <w:rPr>
          <w:rFonts w:ascii="Garamond" w:hAnsi="Garamond" w:cs="Times New Roman"/>
          <w:sz w:val="24"/>
          <w:szCs w:val="24"/>
        </w:rPr>
        <w:t xml:space="preserve">cada uma delas, sendo efetuadas mensal, sucessiva e diretamente na conta corrente nº </w:t>
      </w:r>
      <w:r w:rsidRPr="006727B9">
        <w:rPr>
          <w:rFonts w:ascii="Garamond" w:hAnsi="Garamond" w:cs="Times New Roman"/>
          <w:color w:val="EE0000"/>
          <w:sz w:val="24"/>
          <w:szCs w:val="24"/>
        </w:rPr>
        <w:t xml:space="preserve">...... </w:t>
      </w:r>
      <w:r w:rsidRPr="006727B9">
        <w:rPr>
          <w:rFonts w:ascii="Garamond" w:hAnsi="Garamond" w:cs="Times New Roman"/>
          <w:sz w:val="24"/>
          <w:szCs w:val="24"/>
        </w:rPr>
        <w:t xml:space="preserve">da agência </w:t>
      </w:r>
      <w:r w:rsidRPr="006727B9">
        <w:rPr>
          <w:rFonts w:ascii="Garamond" w:hAnsi="Garamond" w:cs="Times New Roman"/>
          <w:color w:val="EE0000"/>
          <w:sz w:val="24"/>
          <w:szCs w:val="24"/>
        </w:rPr>
        <w:t xml:space="preserve">......, </w:t>
      </w:r>
      <w:r w:rsidRPr="006727B9">
        <w:rPr>
          <w:rFonts w:ascii="Garamond" w:hAnsi="Garamond" w:cs="Times New Roman"/>
          <w:sz w:val="24"/>
          <w:szCs w:val="24"/>
        </w:rPr>
        <w:t>de titularidade do CONTRATADO, junto à instituição financeira contratada pelo Município de Niterói, observando-se o disposto no item 5.3. deste Contrato.</w:t>
      </w:r>
    </w:p>
    <w:p w14:paraId="3B3AFA83"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lastRenderedPageBreak/>
        <w:t>No caso de o CONTRATADO estar estabelecido em localidade que não possua agência da instituição financeira contratada pelo Município de Niterói ou, caso verificada pelo CONTRATANTE a impossibilidade de o CONTRATADO, em razão de recusa expressa da instituição financeira contratada pelo Município de Niterói, abrir ou manter conta corrente naquela instituição financeira, o pagamento poderá ser feito mediante crédito em conta corrente de outra instituição financeira. Nesse caso, eventuais ônus financeiros e/ou contratuais adicionais serão suportados exclusivamente pelo CONTRATADO.</w:t>
      </w:r>
    </w:p>
    <w:p w14:paraId="60A9493B"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w:t>
      </w:r>
    </w:p>
    <w:p w14:paraId="596B4DE0"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6.3.1 Quando houver glosa parcial do objeto, o CONTRATANTE deverá comunicar ao CONTRATADO para que emita Nota Fiscal ou Fatura com o valor exato dimensionado.</w:t>
      </w:r>
    </w:p>
    <w:p w14:paraId="0497645E"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O CONTRATADO deverá encaminhar a Nota Fiscal ou Fatura para pagamento à </w:t>
      </w:r>
      <w:r w:rsidRPr="006727B9">
        <w:rPr>
          <w:rFonts w:ascii="Garamond" w:hAnsi="Garamond" w:cs="Times New Roman"/>
          <w:color w:val="EE0000"/>
          <w:sz w:val="24"/>
          <w:szCs w:val="24"/>
        </w:rPr>
        <w:t xml:space="preserve">......, </w:t>
      </w:r>
      <w:r w:rsidRPr="006727B9">
        <w:rPr>
          <w:rFonts w:ascii="Garamond" w:hAnsi="Garamond" w:cs="Times New Roman"/>
          <w:sz w:val="24"/>
          <w:szCs w:val="24"/>
        </w:rPr>
        <w:t xml:space="preserve">situada na </w:t>
      </w:r>
      <w:r w:rsidRPr="006727B9">
        <w:rPr>
          <w:rFonts w:ascii="Garamond" w:hAnsi="Garamond" w:cs="Times New Roman"/>
          <w:color w:val="EE0000"/>
          <w:sz w:val="24"/>
          <w:szCs w:val="24"/>
        </w:rPr>
        <w:t xml:space="preserve">......, </w:t>
      </w:r>
      <w:r w:rsidRPr="006727B9">
        <w:rPr>
          <w:rFonts w:ascii="Garamond" w:hAnsi="Garamond" w:cs="Times New Roman"/>
          <w:sz w:val="24"/>
          <w:szCs w:val="24"/>
        </w:rPr>
        <w:t xml:space="preserve">no Município de Niterói ou para o endereço eletrônico </w:t>
      </w:r>
      <w:r w:rsidRPr="006727B9">
        <w:rPr>
          <w:rFonts w:ascii="Garamond" w:hAnsi="Garamond" w:cs="Times New Roman"/>
          <w:color w:val="EE0000"/>
          <w:sz w:val="24"/>
          <w:szCs w:val="24"/>
        </w:rPr>
        <w:t>.......</w:t>
      </w:r>
    </w:p>
    <w:p w14:paraId="3EF22365"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Recebida a Nota Fiscal ou Fatura, o órgão competente deverá realizar consulta ao SICAF para verificar:</w:t>
      </w:r>
    </w:p>
    <w:p w14:paraId="6A44AAD6" w14:textId="77777777" w:rsidR="00381F54" w:rsidRPr="006727B9" w:rsidRDefault="00000000">
      <w:pPr>
        <w:pStyle w:val="Nivel2"/>
        <w:numPr>
          <w:ilvl w:val="0"/>
          <w:numId w:val="0"/>
        </w:numPr>
        <w:ind w:left="709"/>
        <w:rPr>
          <w:rFonts w:ascii="Garamond" w:hAnsi="Garamond" w:cs="Times New Roman"/>
          <w:sz w:val="24"/>
          <w:szCs w:val="24"/>
        </w:rPr>
      </w:pPr>
      <w:r w:rsidRPr="006727B9">
        <w:rPr>
          <w:rFonts w:ascii="Garamond" w:hAnsi="Garamond" w:cs="Times New Roman"/>
          <w:sz w:val="24"/>
          <w:szCs w:val="24"/>
        </w:rPr>
        <w:t xml:space="preserve">a) a manutenção das condições de habilitação exigidas pelo instrumento convocatório; </w:t>
      </w:r>
    </w:p>
    <w:p w14:paraId="675AC914" w14:textId="77777777" w:rsidR="00381F54" w:rsidRPr="006727B9" w:rsidRDefault="00000000">
      <w:pPr>
        <w:pStyle w:val="Nivel2"/>
        <w:numPr>
          <w:ilvl w:val="0"/>
          <w:numId w:val="0"/>
        </w:numPr>
        <w:ind w:left="709"/>
        <w:rPr>
          <w:rFonts w:ascii="Garamond" w:hAnsi="Garamond" w:cs="Times New Roman"/>
          <w:sz w:val="24"/>
          <w:szCs w:val="24"/>
        </w:rPr>
      </w:pPr>
      <w:r w:rsidRPr="006727B9">
        <w:rPr>
          <w:rFonts w:ascii="Garamond" w:hAnsi="Garamond" w:cs="Times New Roman"/>
          <w:sz w:val="24"/>
          <w:szCs w:val="24"/>
        </w:rPr>
        <w:t>b) se o CONTRATADO foi penalizado com as sanções de declaração de inidoneidade ou impedimento de licitar e contratar com o Poder Público, observadas as abrangências de aplicação; e</w:t>
      </w:r>
    </w:p>
    <w:p w14:paraId="20E0EF57" w14:textId="77777777" w:rsidR="00381F54" w:rsidRPr="006727B9" w:rsidRDefault="00000000">
      <w:pPr>
        <w:pStyle w:val="Nivel2"/>
        <w:numPr>
          <w:ilvl w:val="0"/>
          <w:numId w:val="0"/>
        </w:numPr>
        <w:ind w:left="709"/>
        <w:rPr>
          <w:rFonts w:ascii="Garamond" w:hAnsi="Garamond" w:cs="Times New Roman"/>
          <w:sz w:val="24"/>
          <w:szCs w:val="24"/>
        </w:rPr>
      </w:pPr>
      <w:r w:rsidRPr="006727B9">
        <w:rPr>
          <w:rFonts w:ascii="Garamond" w:hAnsi="Garamond" w:cs="Times New Roman"/>
          <w:sz w:val="24"/>
          <w:szCs w:val="24"/>
        </w:rPr>
        <w:t>c) eventuais ocorrências impeditivas indiretas, hipótese na qual o gestor deverá verificar se houve fraude por parte das empresas apontadas no Relatório de Ocorrências Impeditivas Indiretas;</w:t>
      </w:r>
    </w:p>
    <w:p w14:paraId="704AA5BC" w14:textId="77777777" w:rsidR="00381F54" w:rsidRPr="006727B9" w:rsidRDefault="00000000">
      <w:pPr>
        <w:pStyle w:val="Nivel2"/>
        <w:numPr>
          <w:ilvl w:val="0"/>
          <w:numId w:val="0"/>
        </w:numPr>
        <w:ind w:left="709"/>
        <w:rPr>
          <w:rFonts w:ascii="Garamond" w:hAnsi="Garamond" w:cs="Times New Roman"/>
          <w:sz w:val="24"/>
          <w:szCs w:val="24"/>
        </w:rPr>
      </w:pPr>
      <w:r w:rsidRPr="006727B9">
        <w:rPr>
          <w:rFonts w:ascii="Garamond" w:hAnsi="Garamond" w:cs="Times New Roman"/>
          <w:sz w:val="24"/>
          <w:szCs w:val="24"/>
        </w:rPr>
        <w:t>6.5.1 Constatando-se a situação de irregularidade do CONTRATADO, será providenciada sua notificação, por escrito, para que, no prazo de 15 (quinze) dias úteis, regularize sua situação ou, no mesmo prazo, apresente sua defesa e especifique as provas que pretende produzir. O prazo poderá ser prorrogado uma vez, por igual período, a critério do CONTRATANTE.</w:t>
      </w:r>
    </w:p>
    <w:p w14:paraId="7AC501EC" w14:textId="77777777" w:rsidR="00381F54" w:rsidRPr="006727B9" w:rsidRDefault="00000000">
      <w:pPr>
        <w:pStyle w:val="Nivel2"/>
        <w:numPr>
          <w:ilvl w:val="0"/>
          <w:numId w:val="0"/>
        </w:numPr>
        <w:ind w:left="709"/>
        <w:rPr>
          <w:rFonts w:ascii="Garamond" w:hAnsi="Garamond" w:cs="Times New Roman"/>
          <w:sz w:val="24"/>
          <w:szCs w:val="24"/>
        </w:rPr>
      </w:pPr>
      <w:r w:rsidRPr="006727B9">
        <w:rPr>
          <w:rFonts w:ascii="Garamond" w:hAnsi="Garamond" w:cs="Times New Roman"/>
          <w:sz w:val="24"/>
          <w:szCs w:val="24"/>
        </w:rPr>
        <w:t xml:space="preserve">6.5.2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2E7B8D6" w14:textId="77777777" w:rsidR="00381F54" w:rsidRPr="006727B9" w:rsidRDefault="00000000">
      <w:pPr>
        <w:pStyle w:val="Nivel2"/>
        <w:numPr>
          <w:ilvl w:val="0"/>
          <w:numId w:val="0"/>
        </w:numPr>
        <w:ind w:left="709"/>
        <w:rPr>
          <w:rFonts w:ascii="Garamond" w:hAnsi="Garamond" w:cs="Times New Roman"/>
          <w:sz w:val="24"/>
          <w:szCs w:val="24"/>
        </w:rPr>
      </w:pPr>
      <w:r w:rsidRPr="006727B9">
        <w:rPr>
          <w:rFonts w:ascii="Garamond" w:hAnsi="Garamond" w:cs="Times New Roman"/>
          <w:sz w:val="24"/>
          <w:szCs w:val="24"/>
        </w:rPr>
        <w:t>6.5.3 Persistindo a irregularidade, o CONTRATANTE deverá adotar as medidas necessárias à rescisão do Contrato nos autos do processo administrativo correspondente, assegurada ao CONTRATADO a ampla defesa.</w:t>
      </w:r>
    </w:p>
    <w:p w14:paraId="3EAADE8E" w14:textId="77777777" w:rsidR="00381F54" w:rsidRPr="006727B9" w:rsidRDefault="00000000">
      <w:pPr>
        <w:pStyle w:val="Nivel2"/>
        <w:numPr>
          <w:ilvl w:val="0"/>
          <w:numId w:val="0"/>
        </w:numPr>
        <w:ind w:left="709"/>
        <w:rPr>
          <w:rFonts w:ascii="Garamond" w:hAnsi="Garamond" w:cs="Times New Roman"/>
          <w:sz w:val="24"/>
          <w:szCs w:val="24"/>
        </w:rPr>
      </w:pPr>
      <w:r w:rsidRPr="006727B9">
        <w:rPr>
          <w:rFonts w:ascii="Garamond" w:hAnsi="Garamond" w:cs="Times New Roman"/>
          <w:sz w:val="24"/>
          <w:szCs w:val="24"/>
        </w:rPr>
        <w:lastRenderedPageBreak/>
        <w:t>6.5.4 Havendo a efetiva execução do objeto, os pagamentos serão realizados normalmente, até que se decida pela rescisão do Contrato, caso o CONTRATADO não regularize sua situação.</w:t>
      </w:r>
    </w:p>
    <w:p w14:paraId="3C28CE52"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6.6 Havendo a efetiva execução do objeto, os pagamentos serão realizados normalmente, até que se decida pela rescisão do Contrato, caso o CONTRATADO não regularize sua situação.</w:t>
      </w:r>
    </w:p>
    <w:p w14:paraId="047FE660" w14:textId="77777777" w:rsidR="00381F54" w:rsidRPr="006727B9" w:rsidRDefault="00000000">
      <w:pPr>
        <w:pStyle w:val="Nivel2"/>
        <w:numPr>
          <w:ilvl w:val="0"/>
          <w:numId w:val="0"/>
        </w:numPr>
        <w:ind w:left="709"/>
        <w:rPr>
          <w:rFonts w:ascii="Garamond" w:hAnsi="Garamond" w:cs="Times New Roman"/>
          <w:sz w:val="24"/>
          <w:szCs w:val="24"/>
        </w:rPr>
      </w:pPr>
      <w:r w:rsidRPr="006727B9">
        <w:rPr>
          <w:rFonts w:ascii="Garamond" w:hAnsi="Garamond" w:cs="Times New Roman"/>
          <w:sz w:val="24"/>
          <w:szCs w:val="24"/>
        </w:rPr>
        <w:t>6.6.1 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39B5A866"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6.7 Quando do pagamento, será efetuada a retenção tributária prevista na legislação aplicável.</w:t>
      </w:r>
    </w:p>
    <w:p w14:paraId="090A1B63"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6.7.1 Independentemente do percentual de tributo inserido na planilha, no pagamento serão retidos na fonte os percentuais estabelecidos na legislação vigente.</w:t>
      </w:r>
    </w:p>
    <w:p w14:paraId="63C95FA2"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6.7.2 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3F66AC4F"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6.8 Os pagamentos eventualmente realizados com atraso, desde que não decorram de ato ou fato atribuível ao CONTRATADO, sofrerão a incidência de atualização monetária e juros de mora pelo IPCA-E, calculado pro rata die, e aqueles pagos em prazo inferior ao estabelecido no instrumento convocatório serão feitos mediante desconto de 0,5% (um meio por cento) ao mês, calculado pro rata die.</w:t>
      </w:r>
    </w:p>
    <w:p w14:paraId="60ED2019" w14:textId="77777777" w:rsidR="00381F54" w:rsidRPr="006727B9" w:rsidRDefault="00000000">
      <w:pPr>
        <w:pStyle w:val="Nivel2"/>
        <w:numPr>
          <w:ilvl w:val="0"/>
          <w:numId w:val="0"/>
        </w:numPr>
        <w:rPr>
          <w:rFonts w:ascii="Garamond" w:hAnsi="Garamond" w:cs="Times New Roman"/>
          <w:b/>
          <w:bCs/>
          <w:sz w:val="24"/>
          <w:szCs w:val="24"/>
        </w:rPr>
      </w:pPr>
      <w:r w:rsidRPr="006727B9">
        <w:rPr>
          <w:rFonts w:ascii="Garamond" w:hAnsi="Garamond" w:cs="Times New Roman"/>
          <w:b/>
          <w:bCs/>
          <w:sz w:val="24"/>
          <w:szCs w:val="24"/>
        </w:rPr>
        <w:t>NOTA EXPLICATIVA: Na inexistência de norma municipal determinando o índice, cabe ao gestor público defini-lo motivadamente, atentando para o impacto desta decisão no interesse dos fornecedores em participarem da licitação/contratação. O índice inserido na minuta é meramente sugestivo.</w:t>
      </w:r>
    </w:p>
    <w:p w14:paraId="03F55147" w14:textId="77777777" w:rsidR="00381F54" w:rsidRPr="006727B9" w:rsidRDefault="00381F54">
      <w:pPr>
        <w:pStyle w:val="Nivel2"/>
        <w:numPr>
          <w:ilvl w:val="0"/>
          <w:numId w:val="0"/>
        </w:numPr>
        <w:rPr>
          <w:rFonts w:ascii="Garamond" w:hAnsi="Garamond" w:cs="Times New Roman"/>
          <w:sz w:val="24"/>
          <w:szCs w:val="24"/>
        </w:rPr>
      </w:pPr>
    </w:p>
    <w:p w14:paraId="753BBD5F"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 xml:space="preserve">6.10 Caso o Edital admita a subcontratação, os pagamentos aos subcontratados serão realizados diretamente pelo CONTRATADO, ficando vedada a emissão de nota de empenho do CONTRATANTE diretamente aos subcontratados. </w:t>
      </w:r>
    </w:p>
    <w:p w14:paraId="0FDCE8A4"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6.10.1 A subcontratação porventura realizada será integralmente custeada pelo CONTRATADO.</w:t>
      </w:r>
    </w:p>
    <w:p w14:paraId="28D58A43"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6.11 O pagamento será efetuado no prazo máximo de até 30 (trinta) dias, contado do recebimento da Nota Fiscal ou Fatura.</w:t>
      </w:r>
    </w:p>
    <w:p w14:paraId="2325E609"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lastRenderedPageBreak/>
        <w:t>CLÁUSULA SÉTIMA - REAJUSTE (</w:t>
      </w:r>
      <w:hyperlink r:id="rId12" w:anchor="art92" w:tooltip="http://www.planalto.gov.br/ccivil_03/_ato2019-2022/2021/lei/L14133.htm#art92" w:history="1">
        <w:r w:rsidR="00381F54" w:rsidRPr="006727B9">
          <w:rPr>
            <w:rStyle w:val="Hyperlink"/>
            <w:rFonts w:ascii="Garamond" w:hAnsi="Garamond" w:cs="Times New Roman"/>
            <w:sz w:val="24"/>
            <w:szCs w:val="24"/>
          </w:rPr>
          <w:t>art. 92, V)</w:t>
        </w:r>
      </w:hyperlink>
    </w:p>
    <w:p w14:paraId="7FF6BBDC"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Os preços inicialmente contratados são fixos e irreajustáveis no prazo de um ano contado da data do orçamento estimado, em </w:t>
      </w:r>
      <w:r w:rsidRPr="006727B9">
        <w:rPr>
          <w:rFonts w:ascii="Garamond" w:hAnsi="Garamond" w:cs="Times New Roman"/>
          <w:i/>
          <w:iCs/>
          <w:color w:val="FF0000"/>
          <w:sz w:val="24"/>
          <w:szCs w:val="24"/>
        </w:rPr>
        <w:t>__/__/__ (DD/MM/AAAA)</w:t>
      </w:r>
      <w:r w:rsidRPr="006727B9">
        <w:rPr>
          <w:rFonts w:ascii="Garamond" w:hAnsi="Garamond" w:cs="Times New Roman"/>
          <w:sz w:val="24"/>
          <w:szCs w:val="24"/>
        </w:rPr>
        <w:t>.</w:t>
      </w:r>
    </w:p>
    <w:p w14:paraId="3791E9E6"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Após o interregno de um ano, mediante solicitação do </w:t>
      </w:r>
      <w:r w:rsidRPr="006727B9">
        <w:rPr>
          <w:rFonts w:ascii="Garamond" w:hAnsi="Garamond" w:cs="Times New Roman"/>
          <w:b/>
          <w:bCs/>
          <w:sz w:val="24"/>
          <w:szCs w:val="24"/>
        </w:rPr>
        <w:t>CONTRATADO</w:t>
      </w:r>
      <w:r w:rsidRPr="006727B9">
        <w:rPr>
          <w:rFonts w:ascii="Garamond" w:hAnsi="Garamond" w:cs="Times New Roman"/>
          <w:sz w:val="24"/>
          <w:szCs w:val="24"/>
        </w:rPr>
        <w:t xml:space="preserve">, os preços iniciais serão reajustados, mediante a aplicação, pelo contratante, do índice </w:t>
      </w:r>
      <w:r w:rsidRPr="006727B9">
        <w:rPr>
          <w:rFonts w:ascii="Garamond" w:hAnsi="Garamond" w:cs="Times New Roman"/>
          <w:color w:val="FF0000"/>
          <w:sz w:val="24"/>
          <w:szCs w:val="24"/>
        </w:rPr>
        <w:t xml:space="preserve">___________ </w:t>
      </w:r>
      <w:r w:rsidRPr="006727B9">
        <w:rPr>
          <w:rFonts w:ascii="Garamond" w:hAnsi="Garamond" w:cs="Times New Roman"/>
          <w:i/>
          <w:iCs/>
          <w:color w:val="FF0000"/>
          <w:sz w:val="24"/>
          <w:szCs w:val="24"/>
        </w:rPr>
        <w:t>(indicar o índice a ser adotado</w:t>
      </w:r>
      <w:r w:rsidRPr="006727B9">
        <w:rPr>
          <w:rFonts w:ascii="Garamond" w:hAnsi="Garamond" w:cs="Times New Roman"/>
          <w:i/>
          <w:iCs/>
          <w:sz w:val="24"/>
          <w:szCs w:val="24"/>
        </w:rPr>
        <w:t>),</w:t>
      </w:r>
      <w:r w:rsidRPr="006727B9">
        <w:rPr>
          <w:rFonts w:ascii="Garamond" w:hAnsi="Garamond" w:cs="Times New Roman"/>
          <w:sz w:val="24"/>
          <w:szCs w:val="24"/>
        </w:rPr>
        <w:t xml:space="preserve"> exclusivamente para as obrigações iniciadas e concluídas após a ocorrência da anualidade.</w:t>
      </w:r>
    </w:p>
    <w:p w14:paraId="73C6E382" w14:textId="77777777" w:rsidR="00381F54" w:rsidRPr="006727B9" w:rsidRDefault="00000000">
      <w:pPr>
        <w:pStyle w:val="Nivel2"/>
        <w:numPr>
          <w:ilvl w:val="0"/>
          <w:numId w:val="0"/>
        </w:numPr>
        <w:rPr>
          <w:rFonts w:ascii="Garamond" w:hAnsi="Garamond" w:cs="Times New Roman"/>
          <w:sz w:val="24"/>
          <w:szCs w:val="24"/>
        </w:rPr>
      </w:pPr>
      <w:proofErr w:type="gramStart"/>
      <w:r w:rsidRPr="006727B9">
        <w:rPr>
          <w:rFonts w:ascii="Garamond" w:hAnsi="Garamond" w:cs="Times New Roman"/>
          <w:sz w:val="24"/>
          <w:szCs w:val="24"/>
        </w:rPr>
        <w:t>7.2.1  O</w:t>
      </w:r>
      <w:proofErr w:type="gramEnd"/>
      <w:r w:rsidRPr="006727B9">
        <w:rPr>
          <w:rFonts w:ascii="Garamond" w:hAnsi="Garamond" w:cs="Times New Roman"/>
          <w:sz w:val="24"/>
          <w:szCs w:val="24"/>
        </w:rPr>
        <w:t xml:space="preserve"> interregno mínimo de 1 (um) para o primeiro reajuste será contado da data do orçamento estimado.</w:t>
      </w:r>
    </w:p>
    <w:tbl>
      <w:tblPr>
        <w:tblStyle w:val="Tabelacomgrade"/>
        <w:tblW w:w="0" w:type="auto"/>
        <w:tblLook w:val="04A0" w:firstRow="1" w:lastRow="0" w:firstColumn="1" w:lastColumn="0" w:noHBand="0" w:noVBand="1"/>
      </w:tblPr>
      <w:tblGrid>
        <w:gridCol w:w="1132"/>
        <w:gridCol w:w="7928"/>
      </w:tblGrid>
      <w:tr w:rsidR="00381F54" w:rsidRPr="006727B9" w14:paraId="61FF56E0" w14:textId="77777777">
        <w:trPr>
          <w:trHeight w:val="385"/>
        </w:trPr>
        <w:tc>
          <w:tcPr>
            <w:tcW w:w="9832" w:type="dxa"/>
            <w:gridSpan w:val="2"/>
          </w:tcPr>
          <w:p w14:paraId="3012F2F4"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7F0CC862" w14:textId="77777777">
        <w:tc>
          <w:tcPr>
            <w:tcW w:w="1195" w:type="dxa"/>
          </w:tcPr>
          <w:p w14:paraId="1BB4C038"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7.1 e 7.2</w:t>
            </w:r>
          </w:p>
        </w:tc>
        <w:tc>
          <w:tcPr>
            <w:tcW w:w="8637" w:type="dxa"/>
          </w:tcPr>
          <w:p w14:paraId="003EECF4" w14:textId="77777777" w:rsidR="00381F54" w:rsidRPr="006727B9" w:rsidRDefault="00000000">
            <w:pPr>
              <w:spacing w:before="100" w:beforeAutospacing="1" w:after="100" w:afterAutospacing="1"/>
              <w:jc w:val="both"/>
              <w:rPr>
                <w:rFonts w:ascii="Garamond" w:eastAsia="Times New Roman" w:hAnsi="Garamond"/>
                <w:sz w:val="24"/>
                <w:szCs w:val="24"/>
              </w:rPr>
            </w:pPr>
            <w:r w:rsidRPr="006727B9">
              <w:rPr>
                <w:rFonts w:ascii="Garamond" w:eastAsia="Times New Roman" w:hAnsi="Garamond"/>
                <w:i/>
                <w:iCs/>
                <w:sz w:val="24"/>
                <w:szCs w:val="24"/>
              </w:rPr>
              <w:t xml:space="preserve">A Lei n.º 14.133, de 2021 em seu artigo 25, §7º fixou a necessidade da estipulação no contrato, </w:t>
            </w:r>
            <w:r w:rsidRPr="006727B9">
              <w:rPr>
                <w:rFonts w:ascii="Garamond" w:eastAsia="Times New Roman" w:hAnsi="Garamond"/>
                <w:b/>
                <w:bCs/>
                <w:i/>
                <w:iCs/>
                <w:sz w:val="24"/>
                <w:szCs w:val="24"/>
              </w:rPr>
              <w:t>independente do prazo de sua duração</w:t>
            </w:r>
            <w:r w:rsidRPr="006727B9">
              <w:rPr>
                <w:rFonts w:ascii="Garamond" w:eastAsia="Times New Roman" w:hAnsi="Garamond"/>
                <w:i/>
                <w:iCs/>
                <w:sz w:val="24"/>
                <w:szCs w:val="24"/>
              </w:rPr>
              <w:t xml:space="preserve">, de índice de reajustamento de preço, com data-base vinculada à data do orçamento estimado.  </w:t>
            </w:r>
          </w:p>
          <w:p w14:paraId="0915007F" w14:textId="77777777" w:rsidR="00381F54" w:rsidRPr="006727B9" w:rsidRDefault="00000000">
            <w:pPr>
              <w:spacing w:before="100" w:beforeAutospacing="1" w:after="100" w:afterAutospacing="1"/>
              <w:jc w:val="both"/>
              <w:rPr>
                <w:rFonts w:ascii="Garamond" w:eastAsia="Times New Roman" w:hAnsi="Garamond"/>
                <w:sz w:val="24"/>
                <w:szCs w:val="24"/>
              </w:rPr>
            </w:pPr>
            <w:r w:rsidRPr="006727B9">
              <w:rPr>
                <w:rFonts w:ascii="Garamond" w:eastAsia="Times New Roman" w:hAnsi="Garamond"/>
                <w:i/>
                <w:iCs/>
                <w:sz w:val="24"/>
                <w:szCs w:val="24"/>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05C0AFEE" w14:textId="77777777" w:rsidR="00381F54" w:rsidRPr="006727B9" w:rsidRDefault="00000000">
            <w:pPr>
              <w:spacing w:before="100" w:beforeAutospacing="1" w:after="100" w:afterAutospacing="1"/>
              <w:jc w:val="both"/>
              <w:rPr>
                <w:rFonts w:ascii="Garamond" w:eastAsia="Times New Roman" w:hAnsi="Garamond"/>
                <w:i/>
                <w:iCs/>
                <w:sz w:val="24"/>
                <w:szCs w:val="24"/>
              </w:rPr>
            </w:pPr>
            <w:r w:rsidRPr="006727B9">
              <w:rPr>
                <w:rFonts w:ascii="Garamond" w:eastAsia="Times New Roman" w:hAnsi="Garamond"/>
                <w:i/>
                <w:iCs/>
                <w:sz w:val="24"/>
                <w:szCs w:val="24"/>
              </w:rPr>
              <w:t xml:space="preserve">Importa enfatizar que o marco inicial para a contagem da anualidade é a </w:t>
            </w:r>
            <w:r w:rsidRPr="006727B9">
              <w:rPr>
                <w:rFonts w:ascii="Garamond" w:eastAsia="Times New Roman" w:hAnsi="Garamond"/>
                <w:b/>
                <w:bCs/>
                <w:i/>
                <w:iCs/>
                <w:sz w:val="24"/>
                <w:szCs w:val="24"/>
              </w:rPr>
              <w:t>data do orçamento estimado</w:t>
            </w:r>
            <w:r w:rsidRPr="006727B9">
              <w:rPr>
                <w:rFonts w:ascii="Garamond" w:eastAsia="Times New Roman" w:hAnsi="Garamond"/>
                <w:i/>
                <w:iCs/>
                <w:sz w:val="24"/>
                <w:szCs w:val="24"/>
              </w:rPr>
              <w:t>, o que representa um aperfeiçoamento em relação à sistemática anterior. Isso torna indispensável que o orçamento contenha a data específica a que se refere.</w:t>
            </w:r>
          </w:p>
          <w:p w14:paraId="4C29EA42" w14:textId="77777777" w:rsidR="00381F54" w:rsidRPr="006727B9" w:rsidRDefault="00000000">
            <w:pPr>
              <w:pStyle w:val="pf0"/>
              <w:jc w:val="both"/>
              <w:rPr>
                <w:rFonts w:ascii="Garamond" w:hAnsi="Garamond"/>
                <w:i/>
                <w:iCs/>
              </w:rPr>
            </w:pPr>
            <w:r w:rsidRPr="006727B9">
              <w:rPr>
                <w:rStyle w:val="cf01"/>
                <w:rFonts w:ascii="Garamond" w:hAnsi="Garamond" w:cs="Times New Roman"/>
                <w:sz w:val="24"/>
                <w:szCs w:val="24"/>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tc>
      </w:tr>
    </w:tbl>
    <w:p w14:paraId="28704BD1" w14:textId="77777777" w:rsidR="00381F54" w:rsidRPr="006727B9" w:rsidRDefault="00381F54">
      <w:pPr>
        <w:pStyle w:val="Nivel2"/>
        <w:numPr>
          <w:ilvl w:val="0"/>
          <w:numId w:val="0"/>
        </w:numPr>
        <w:rPr>
          <w:rFonts w:ascii="Garamond" w:hAnsi="Garamond" w:cs="Times New Roman"/>
          <w:sz w:val="24"/>
          <w:szCs w:val="24"/>
        </w:rPr>
      </w:pPr>
    </w:p>
    <w:p w14:paraId="77196046"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Nos reajustes subsequentes ao primeiro, o interregno mínimo de um ano será contado a partir dos efeitos financeiros do último reajuste.</w:t>
      </w:r>
    </w:p>
    <w:p w14:paraId="238F44FC"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6727B9">
        <w:rPr>
          <w:rFonts w:ascii="Garamond" w:eastAsia="Times New Roman" w:hAnsi="Garamond" w:cs="Times New Roman"/>
          <w:sz w:val="24"/>
          <w:szCs w:val="24"/>
        </w:rPr>
        <w:t xml:space="preserve"> </w:t>
      </w:r>
    </w:p>
    <w:p w14:paraId="4A562C39"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Nas aferições finais, o(s) índice(s) utilizado(s) para reajuste será(</w:t>
      </w:r>
      <w:proofErr w:type="spellStart"/>
      <w:r w:rsidRPr="006727B9">
        <w:rPr>
          <w:rFonts w:ascii="Garamond" w:hAnsi="Garamond" w:cs="Times New Roman"/>
          <w:sz w:val="24"/>
          <w:szCs w:val="24"/>
        </w:rPr>
        <w:t>ão</w:t>
      </w:r>
      <w:proofErr w:type="spellEnd"/>
      <w:r w:rsidRPr="006727B9">
        <w:rPr>
          <w:rFonts w:ascii="Garamond" w:hAnsi="Garamond" w:cs="Times New Roman"/>
          <w:sz w:val="24"/>
          <w:szCs w:val="24"/>
        </w:rPr>
        <w:t>), obrigatoriamente, o(s) definitivo(s).</w:t>
      </w:r>
    </w:p>
    <w:p w14:paraId="66EB54C8"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7.5.1 Fica o CONTRATADO obrigado a apresentar memória de cálculo referente ao reajustamento de preços do valor remanescente, sempre que este ocorrer, sendo adotado na aferição final o índice definitivo.</w:t>
      </w:r>
    </w:p>
    <w:p w14:paraId="6D2060D5"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lastRenderedPageBreak/>
        <w:t>Caso o(s) índice(s) estabelecido(s) para reajustamento venha(m) a ser extinto(s) ou de qualquer forma não possa(m) mais ser utilizado(s), será(</w:t>
      </w:r>
      <w:proofErr w:type="spellStart"/>
      <w:r w:rsidRPr="006727B9">
        <w:rPr>
          <w:rFonts w:ascii="Garamond" w:hAnsi="Garamond" w:cs="Times New Roman"/>
          <w:sz w:val="24"/>
          <w:szCs w:val="24"/>
        </w:rPr>
        <w:t>ão</w:t>
      </w:r>
      <w:proofErr w:type="spellEnd"/>
      <w:r w:rsidRPr="006727B9">
        <w:rPr>
          <w:rFonts w:ascii="Garamond" w:hAnsi="Garamond" w:cs="Times New Roman"/>
          <w:sz w:val="24"/>
          <w:szCs w:val="24"/>
        </w:rPr>
        <w:t>) adotado(s), em substituição, o(s) que vier(em) a ser determinado(s) pela legislação então em vigor.</w:t>
      </w:r>
    </w:p>
    <w:p w14:paraId="0E2FC5F7"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Na ausência de previsão legal quanto ao índice substituto, as partes elegerão novo índice oficial, para reajustamento do preço do valor remanescente, por meio de termo aditivo. </w:t>
      </w:r>
    </w:p>
    <w:p w14:paraId="59CA4E80"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O pedido de reajuste deverá ser formulado durante a vigência do Contrato e antes de eventual prorrogação contratual, sob pena de preclusão.</w:t>
      </w:r>
    </w:p>
    <w:p w14:paraId="41326010"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7.8.1. Os efeitos financeiros do pedido de reajuste serão contados:</w:t>
      </w:r>
    </w:p>
    <w:p w14:paraId="449C1E4E"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a) da data-base prevista no contrato, desde que requerido o reajuste no prazo de 60 (sessenta) dias da data de publicação do índice ajustado contratualmente;</w:t>
      </w:r>
    </w:p>
    <w:p w14:paraId="34435DAB"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b) a partir da data do requerimento do CONTRATADO, caso o pedido seja formulado após o prazo fixado na alínea a, acima, o que não acarretará a alteração do marco para cômputo da anualidade do reajustamento, já adotado no edital e no contrato.</w:t>
      </w:r>
    </w:p>
    <w:p w14:paraId="176D3FF7"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7.9 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553BAE36"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7.10 A extinção do contrato não configurará óbice para o deferimento do reajuste solicitado tempestivamente, hipótese em que será concedido por meio de termo indenizatório.</w:t>
      </w:r>
    </w:p>
    <w:p w14:paraId="6D973265" w14:textId="77777777" w:rsidR="00381F54" w:rsidRPr="006727B9" w:rsidRDefault="00000000">
      <w:pPr>
        <w:pStyle w:val="Nivel2"/>
        <w:numPr>
          <w:ilvl w:val="1"/>
          <w:numId w:val="10"/>
        </w:numPr>
        <w:rPr>
          <w:rFonts w:ascii="Garamond" w:hAnsi="Garamond" w:cs="Times New Roman"/>
          <w:sz w:val="24"/>
          <w:szCs w:val="24"/>
        </w:rPr>
      </w:pPr>
      <w:r w:rsidRPr="006727B9">
        <w:rPr>
          <w:rFonts w:ascii="Garamond" w:hAnsi="Garamond" w:cs="Times New Roman"/>
          <w:sz w:val="24"/>
          <w:szCs w:val="24"/>
        </w:rPr>
        <w:t xml:space="preserve"> O reajuste será realizado por apostilamento.</w:t>
      </w:r>
    </w:p>
    <w:p w14:paraId="5C75324B" w14:textId="77777777" w:rsidR="00381F54" w:rsidRPr="006727B9" w:rsidRDefault="00000000">
      <w:pPr>
        <w:pStyle w:val="Nivel2"/>
        <w:numPr>
          <w:ilvl w:val="1"/>
          <w:numId w:val="10"/>
        </w:numPr>
        <w:rPr>
          <w:rFonts w:ascii="Garamond" w:hAnsi="Garamond" w:cs="Times New Roman"/>
          <w:sz w:val="24"/>
          <w:szCs w:val="24"/>
        </w:rPr>
      </w:pPr>
      <w:r w:rsidRPr="006727B9">
        <w:rPr>
          <w:rFonts w:ascii="Garamond" w:hAnsi="Garamond" w:cs="Times New Roman"/>
          <w:sz w:val="24"/>
          <w:szCs w:val="24"/>
        </w:rPr>
        <w:t xml:space="preserve"> O reajuste de preços não interfere no direito das partes de solicitar, a qualquer momento, a manutenção do equilíbrio econômico dos contratos com base no disposto no art. 124, inciso II, alínea “d”, da Lei nº 14.133/2021.</w:t>
      </w:r>
    </w:p>
    <w:p w14:paraId="17174CC7"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OITAVA - OBRIGAÇÕES DO CONTRATANTE (</w:t>
      </w:r>
      <w:hyperlink r:id="rId13" w:anchor="art92" w:tooltip="http://www.planalto.gov.br/ccivil_03/_ato2019-2022/2021/lei/L14133.htm#art92" w:history="1">
        <w:r w:rsidR="00381F54" w:rsidRPr="006727B9">
          <w:rPr>
            <w:rStyle w:val="Hyperlink"/>
            <w:rFonts w:ascii="Garamond" w:hAnsi="Garamond" w:cs="Times New Roman"/>
            <w:sz w:val="24"/>
            <w:szCs w:val="24"/>
          </w:rPr>
          <w:t>art. 92, X, XI e XIV</w:t>
        </w:r>
      </w:hyperlink>
      <w:r w:rsidRPr="006727B9">
        <w:rPr>
          <w:rFonts w:ascii="Garamond" w:hAnsi="Garamond" w:cs="Times New Roman"/>
          <w:sz w:val="24"/>
          <w:szCs w:val="24"/>
        </w:rPr>
        <w:t>)</w:t>
      </w:r>
    </w:p>
    <w:p w14:paraId="73E9267D" w14:textId="77777777" w:rsidR="00381F54" w:rsidRPr="006727B9" w:rsidRDefault="00000000">
      <w:pPr>
        <w:pStyle w:val="Nivel2"/>
        <w:rPr>
          <w:rFonts w:ascii="Garamond" w:hAnsi="Garamond" w:cs="Times New Roman"/>
          <w:b/>
          <w:bCs/>
          <w:sz w:val="24"/>
          <w:szCs w:val="24"/>
        </w:rPr>
      </w:pPr>
      <w:r w:rsidRPr="006727B9">
        <w:rPr>
          <w:rFonts w:ascii="Garamond" w:hAnsi="Garamond" w:cs="Times New Roman"/>
          <w:sz w:val="24"/>
          <w:szCs w:val="24"/>
        </w:rPr>
        <w:t>São obrigações do Contratante:</w:t>
      </w:r>
    </w:p>
    <w:p w14:paraId="52766C17"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8.1.1 Exigir o cumprimento de todas as obrigações assumidas pelo CONTRATADO, de acordo com o Contrato e seus Anexos.</w:t>
      </w:r>
    </w:p>
    <w:p w14:paraId="241D90BD"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8.1.2 Receber o objeto no prazo e condições estabelecidas no Termo de Referência.</w:t>
      </w:r>
    </w:p>
    <w:p w14:paraId="1D466918"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8.1.3 Notificar o CONTRATADO, por escrito, sobre vícios, defeitos ou incorreções verificadas no objeto fornecido, para que seja por ele substituído, reparado ou corrigido, no total ou em parte, às suas expensas.</w:t>
      </w:r>
    </w:p>
    <w:p w14:paraId="313A8DAB"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8.1.4 Acompanhar e fiscalizar a execução do Contrato e o cumprimento das obrigações pelo CONTRATADO.</w:t>
      </w:r>
    </w:p>
    <w:p w14:paraId="2E59ABB2"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lastRenderedPageBreak/>
        <w:t>8.1.5 Comunicar ao CONTRATADO para que emita Nota Fiscal relativa à parcela incontroversa da execução do objeto, com vistas à liquidação e pagamento, no caso de divergência acerca do cumprimento das obrigações assumidas, quanto à dimensão, qualidade e quantidade, conforme o art. 143 da Lei nº 14.133, de 2021.</w:t>
      </w:r>
    </w:p>
    <w:p w14:paraId="411C8595"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8.1.6 Efetuar o pagamento ao CONTRATADO do valor correspondente ao fornecimento do objeto, no prazo, forma e condições estabelecidos no presente Contrato.</w:t>
      </w:r>
    </w:p>
    <w:p w14:paraId="7E3D8EA0"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8.1.7 Aplicar ao CONTRATADO sanções motivadas pela inexecução total ou parcial das obrigações contratuais, na forma prevista na lei e neste Contrato.</w:t>
      </w:r>
    </w:p>
    <w:p w14:paraId="1A9586BD"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8.1.9 Emitir decisão fundamentada sobre todas as solicitações e reclamações relacionadas à execução do presente Contrato, ressalvados os requerimentos manifestamente impertinentes, meramente protelatórios ou de nenhum interesse para a boa execução do ajuste.</w:t>
      </w:r>
    </w:p>
    <w:p w14:paraId="755EC8D0"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 xml:space="preserve">8.1.9.1 O CONTRATANTE terá o prazo de 1 (um) mês, a contar da data do protocolo do requerimento, para decidir, admitida a prorrogação motivada, por igual período. </w:t>
      </w:r>
    </w:p>
    <w:p w14:paraId="504AD0B1"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8.1.10 Responder aos eventuais pedidos de reestabelecimento do equilíbrio econômico-financeiro feitos pelo CONTRATADO no prazo máximo de 45 (quarenta e cinco) dias, admitida a prorrogação motivada, por uma única vez, por igual período.</w:t>
      </w:r>
    </w:p>
    <w:p w14:paraId="6134FD53" w14:textId="77777777" w:rsidR="00381F54" w:rsidRPr="006727B9" w:rsidRDefault="00000000">
      <w:pPr>
        <w:pStyle w:val="Nivel2"/>
        <w:numPr>
          <w:ilvl w:val="0"/>
          <w:numId w:val="0"/>
        </w:numPr>
        <w:pBdr>
          <w:top w:val="single" w:sz="4" w:space="1" w:color="000000"/>
          <w:left w:val="single" w:sz="4" w:space="4" w:color="000000"/>
          <w:bottom w:val="single" w:sz="4" w:space="1" w:color="000000"/>
          <w:right w:val="single" w:sz="4" w:space="4" w:color="000000"/>
        </w:pBdr>
        <w:rPr>
          <w:rFonts w:ascii="Garamond" w:hAnsi="Garamond" w:cs="Times New Roman"/>
          <w:sz w:val="24"/>
          <w:szCs w:val="24"/>
        </w:rPr>
      </w:pPr>
      <w:r w:rsidRPr="006727B9">
        <w:rPr>
          <w:rFonts w:ascii="Garamond" w:hAnsi="Garamond" w:cs="Times New Roman"/>
          <w:b/>
          <w:bCs/>
          <w:sz w:val="24"/>
          <w:szCs w:val="24"/>
        </w:rPr>
        <w:t>NOTA EXPLICATIVA: Na inexistência de norma municipal determinando o prazo, cabe ao gestor público defini-lo motivadamente, atentando para a complexidade do exame do reequilíbrio econômico-financeiro. O prazo inserido na minuta é meramente sugestivo</w:t>
      </w:r>
      <w:r w:rsidRPr="006727B9">
        <w:rPr>
          <w:rFonts w:ascii="Garamond" w:hAnsi="Garamond" w:cs="Times New Roman"/>
          <w:sz w:val="24"/>
          <w:szCs w:val="24"/>
        </w:rPr>
        <w:t>.</w:t>
      </w:r>
    </w:p>
    <w:p w14:paraId="48E74FFD"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8.1.11 Notificar os emitentes das garantias quanto ao início de processo administrativo para apuração de descumprimento de cláusulas contratuais, na forma do art. 137, § 4º, da Lei nº 14.133/2021.</w:t>
      </w:r>
    </w:p>
    <w:p w14:paraId="6CF479E5"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8.1.12 A Administração não responderá por quaisquer compromissos assumidos pelo CONTRATADO perante terceiros, ainda que vinculados à execução do Contrato, bem como por qualquer dano causado a terceiros em decorrência de ato do CONTRATADO, de seus empregados, prepostos ou subordinados.</w:t>
      </w:r>
    </w:p>
    <w:p w14:paraId="79F52FFD"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8.1.13 O presente Contrato não configura vínculo empregatício entre os trabalhadores ou sócios do CONTRATADO e o CONTRATANTE.</w:t>
      </w:r>
    </w:p>
    <w:p w14:paraId="4E3EE908"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NONA - OBRIGAÇÕES DO CONTRATADO (</w:t>
      </w:r>
      <w:hyperlink r:id="rId14" w:anchor="art92" w:tooltip="http://www.planalto.gov.br/ccivil_03/_ato2019-2022/2021/lei/L14133.htm#art92" w:history="1">
        <w:r w:rsidR="00381F54" w:rsidRPr="006727B9">
          <w:rPr>
            <w:rStyle w:val="Hyperlink"/>
            <w:rFonts w:ascii="Garamond" w:hAnsi="Garamond" w:cs="Times New Roman"/>
            <w:sz w:val="24"/>
            <w:szCs w:val="24"/>
          </w:rPr>
          <w:t>art. 92, XIV, XVI e XVII)</w:t>
        </w:r>
      </w:hyperlink>
    </w:p>
    <w:p w14:paraId="5E7EB5F1"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tbl>
      <w:tblPr>
        <w:tblStyle w:val="Tabelacomgrade"/>
        <w:tblW w:w="0" w:type="auto"/>
        <w:tblInd w:w="360" w:type="dxa"/>
        <w:tblLook w:val="04A0" w:firstRow="1" w:lastRow="0" w:firstColumn="1" w:lastColumn="0" w:noHBand="0" w:noVBand="1"/>
      </w:tblPr>
      <w:tblGrid>
        <w:gridCol w:w="1102"/>
        <w:gridCol w:w="7598"/>
      </w:tblGrid>
      <w:tr w:rsidR="00381F54" w:rsidRPr="006727B9" w14:paraId="087048B8" w14:textId="77777777">
        <w:trPr>
          <w:trHeight w:val="385"/>
        </w:trPr>
        <w:tc>
          <w:tcPr>
            <w:tcW w:w="9832" w:type="dxa"/>
            <w:gridSpan w:val="2"/>
          </w:tcPr>
          <w:p w14:paraId="3E16B6D1"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lastRenderedPageBreak/>
              <w:t xml:space="preserve">Notas explicativas </w:t>
            </w:r>
          </w:p>
        </w:tc>
      </w:tr>
      <w:tr w:rsidR="00381F54" w:rsidRPr="006727B9" w14:paraId="085F6998" w14:textId="77777777">
        <w:tc>
          <w:tcPr>
            <w:tcW w:w="1195" w:type="dxa"/>
          </w:tcPr>
          <w:p w14:paraId="56A277AF"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9.1</w:t>
            </w:r>
          </w:p>
        </w:tc>
        <w:tc>
          <w:tcPr>
            <w:tcW w:w="8637" w:type="dxa"/>
          </w:tcPr>
          <w:p w14:paraId="31D6614C" w14:textId="77777777" w:rsidR="00381F54" w:rsidRPr="006727B9" w:rsidRDefault="00000000">
            <w:pPr>
              <w:spacing w:before="100" w:beforeAutospacing="1" w:after="100" w:afterAutospacing="1"/>
              <w:jc w:val="both"/>
              <w:rPr>
                <w:rFonts w:ascii="Garamond" w:hAnsi="Garamond"/>
                <w:i/>
                <w:iCs/>
                <w:sz w:val="24"/>
                <w:szCs w:val="24"/>
              </w:rPr>
            </w:pPr>
            <w:r w:rsidRPr="006727B9">
              <w:rPr>
                <w:rFonts w:ascii="Garamond" w:eastAsia="Times New Roman" w:hAnsi="Garamond"/>
                <w:i/>
                <w:iCs/>
                <w:sz w:val="24"/>
                <w:szCs w:val="24"/>
              </w:rPr>
              <w:t>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tc>
      </w:tr>
    </w:tbl>
    <w:p w14:paraId="4F629C8C" w14:textId="77777777" w:rsidR="00381F54" w:rsidRPr="006727B9" w:rsidRDefault="00381F54">
      <w:pPr>
        <w:pStyle w:val="Nivel2"/>
        <w:numPr>
          <w:ilvl w:val="0"/>
          <w:numId w:val="0"/>
        </w:numPr>
        <w:rPr>
          <w:rFonts w:ascii="Garamond" w:hAnsi="Garamond" w:cs="Times New Roman"/>
          <w:sz w:val="24"/>
          <w:szCs w:val="24"/>
        </w:rPr>
      </w:pPr>
    </w:p>
    <w:p w14:paraId="151C86C5"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Entregar o objeto acompanhado do manual do usuário, com uma versão em português, e da relação da rede de assistência técnica autorizada;</w:t>
      </w:r>
    </w:p>
    <w:p w14:paraId="026AFA3A" w14:textId="77777777" w:rsidR="00381F54" w:rsidRPr="006727B9" w:rsidRDefault="00000000">
      <w:pPr>
        <w:pStyle w:val="Nivel2"/>
        <w:rPr>
          <w:rFonts w:ascii="Garamond" w:hAnsi="Garamond" w:cs="Times New Roman"/>
          <w:color w:val="000000" w:themeColor="text1"/>
          <w:sz w:val="24"/>
          <w:szCs w:val="24"/>
        </w:rPr>
      </w:pPr>
      <w:r w:rsidRPr="006727B9">
        <w:rPr>
          <w:rFonts w:ascii="Garamond" w:hAnsi="Garamond" w:cs="Times New Roman"/>
          <w:sz w:val="24"/>
          <w:szCs w:val="24"/>
        </w:rPr>
        <w:t>Responsabilizar-se pelos vícios e danos decorrentes do objeto, de acordo com o Código de Defesa do Consumidor (</w:t>
      </w:r>
      <w:hyperlink r:id="rId15" w:tooltip="https://www.planalto.gov.br/ccivil_03/leis/l8078compilado.htm" w:history="1">
        <w:r w:rsidR="00381F54" w:rsidRPr="006727B9">
          <w:rPr>
            <w:rStyle w:val="Hyperlink"/>
            <w:rFonts w:ascii="Garamond" w:hAnsi="Garamond" w:cs="Times New Roman"/>
            <w:sz w:val="24"/>
            <w:szCs w:val="24"/>
          </w:rPr>
          <w:t>Lei nº 8.078, de 1990</w:t>
        </w:r>
      </w:hyperlink>
      <w:r w:rsidRPr="006727B9">
        <w:rPr>
          <w:rFonts w:ascii="Garamond" w:hAnsi="Garamond" w:cs="Times New Roman"/>
          <w:sz w:val="24"/>
          <w:szCs w:val="24"/>
        </w:rPr>
        <w:t>);</w:t>
      </w:r>
    </w:p>
    <w:p w14:paraId="5D0E418F"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Comunicar ao contratante, no prazo máximo de 24 (vinte e quatro) horas que antecede a data da entrega, os motivos que impossibilitem o cumprimento do prazo previsto, com a devida comprovação;</w:t>
      </w:r>
    </w:p>
    <w:p w14:paraId="06F5F787" w14:textId="77777777" w:rsidR="00381F54" w:rsidRPr="006727B9" w:rsidRDefault="00000000">
      <w:pPr>
        <w:pStyle w:val="Nivel2"/>
        <w:rPr>
          <w:rFonts w:ascii="Garamond" w:hAnsi="Garamond" w:cs="Times New Roman"/>
          <w:color w:val="000000" w:themeColor="text1"/>
          <w:sz w:val="24"/>
          <w:szCs w:val="24"/>
        </w:rPr>
      </w:pPr>
      <w:r w:rsidRPr="006727B9">
        <w:rPr>
          <w:rFonts w:ascii="Garamond" w:hAnsi="Garamond" w:cs="Times New Roman"/>
          <w:color w:val="000000" w:themeColor="text1"/>
          <w:sz w:val="24"/>
          <w:szCs w:val="24"/>
        </w:rPr>
        <w:t xml:space="preserve">Atender </w:t>
      </w:r>
      <w:r w:rsidRPr="006727B9">
        <w:rPr>
          <w:rFonts w:ascii="Garamond" w:hAnsi="Garamond" w:cs="Times New Roman"/>
          <w:sz w:val="24"/>
          <w:szCs w:val="24"/>
        </w:rPr>
        <w:t>às</w:t>
      </w:r>
      <w:r w:rsidRPr="006727B9">
        <w:rPr>
          <w:rFonts w:ascii="Garamond" w:hAnsi="Garamond" w:cs="Times New Roman"/>
          <w:color w:val="000000" w:themeColor="text1"/>
          <w:sz w:val="24"/>
          <w:szCs w:val="24"/>
        </w:rPr>
        <w:t xml:space="preserve"> determinações regulares emitidas pelo fiscal ou gestor do contrato ou autoridade superior (</w:t>
      </w:r>
      <w:hyperlink r:id="rId16" w:anchor="art137" w:tooltip="http://www.planalto.gov.br/ccivil_03/_ato2019-2022/2021/lei/L14133.htm#art137" w:history="1">
        <w:r w:rsidR="00381F54" w:rsidRPr="006727B9">
          <w:rPr>
            <w:rStyle w:val="Hyperlink"/>
            <w:rFonts w:ascii="Garamond" w:hAnsi="Garamond" w:cs="Times New Roman"/>
            <w:sz w:val="24"/>
            <w:szCs w:val="24"/>
          </w:rPr>
          <w:t>art. 137, II, da Lei n.º 14.133, de 2021</w:t>
        </w:r>
      </w:hyperlink>
      <w:r w:rsidRPr="006727B9">
        <w:rPr>
          <w:rFonts w:ascii="Garamond" w:hAnsi="Garamond" w:cs="Times New Roman"/>
          <w:color w:val="000000" w:themeColor="text1"/>
          <w:sz w:val="24"/>
          <w:szCs w:val="24"/>
        </w:rPr>
        <w:t xml:space="preserve">) e </w:t>
      </w:r>
      <w:r w:rsidRPr="006727B9">
        <w:rPr>
          <w:rFonts w:ascii="Garamond" w:hAnsi="Garamond" w:cs="Times New Roman"/>
          <w:sz w:val="24"/>
          <w:szCs w:val="24"/>
        </w:rPr>
        <w:t>prestar todo esclarecimento ou informação por eles solicitados</w:t>
      </w:r>
      <w:r w:rsidRPr="006727B9">
        <w:rPr>
          <w:rFonts w:ascii="Garamond" w:hAnsi="Garamond" w:cs="Times New Roman"/>
          <w:color w:val="000000" w:themeColor="text1"/>
          <w:sz w:val="24"/>
          <w:szCs w:val="24"/>
        </w:rPr>
        <w:t>;</w:t>
      </w:r>
    </w:p>
    <w:p w14:paraId="2525A1BA"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tbl>
      <w:tblPr>
        <w:tblStyle w:val="Tabelacomgrade"/>
        <w:tblW w:w="0" w:type="auto"/>
        <w:tblInd w:w="360" w:type="dxa"/>
        <w:tblLook w:val="04A0" w:firstRow="1" w:lastRow="0" w:firstColumn="1" w:lastColumn="0" w:noHBand="0" w:noVBand="1"/>
      </w:tblPr>
      <w:tblGrid>
        <w:gridCol w:w="1105"/>
        <w:gridCol w:w="7595"/>
      </w:tblGrid>
      <w:tr w:rsidR="00381F54" w:rsidRPr="006727B9" w14:paraId="152DD2AC" w14:textId="77777777">
        <w:trPr>
          <w:trHeight w:val="385"/>
        </w:trPr>
        <w:tc>
          <w:tcPr>
            <w:tcW w:w="9832" w:type="dxa"/>
            <w:gridSpan w:val="2"/>
          </w:tcPr>
          <w:p w14:paraId="2FBA3271"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7D9262DC" w14:textId="77777777">
        <w:tc>
          <w:tcPr>
            <w:tcW w:w="1195" w:type="dxa"/>
          </w:tcPr>
          <w:p w14:paraId="19F7DE1D"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9.6</w:t>
            </w:r>
          </w:p>
        </w:tc>
        <w:tc>
          <w:tcPr>
            <w:tcW w:w="8637" w:type="dxa"/>
          </w:tcPr>
          <w:p w14:paraId="5510B8E7" w14:textId="77777777" w:rsidR="00381F54" w:rsidRPr="006727B9" w:rsidRDefault="00000000">
            <w:pPr>
              <w:pStyle w:val="pf0"/>
              <w:jc w:val="both"/>
              <w:rPr>
                <w:rFonts w:ascii="Garamond" w:hAnsi="Garamond"/>
                <w:i/>
                <w:iCs/>
              </w:rPr>
            </w:pPr>
            <w:r w:rsidRPr="006727B9">
              <w:rPr>
                <w:rStyle w:val="cf01"/>
                <w:rFonts w:ascii="Garamond" w:hAnsi="Garamond" w:cs="Times New Roman"/>
                <w:sz w:val="24"/>
                <w:szCs w:val="24"/>
              </w:rPr>
              <w:t>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tc>
      </w:tr>
    </w:tbl>
    <w:p w14:paraId="73E7962B" w14:textId="77777777" w:rsidR="00381F54" w:rsidRPr="006727B9" w:rsidRDefault="00381F54">
      <w:pPr>
        <w:pStyle w:val="Nivel2"/>
        <w:numPr>
          <w:ilvl w:val="0"/>
          <w:numId w:val="0"/>
        </w:numPr>
        <w:rPr>
          <w:rFonts w:ascii="Garamond" w:hAnsi="Garamond" w:cs="Times New Roman"/>
          <w:sz w:val="24"/>
          <w:szCs w:val="24"/>
        </w:rPr>
      </w:pPr>
    </w:p>
    <w:p w14:paraId="1678E064"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6451E0B"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w:t>
      </w:r>
      <w:bookmarkStart w:id="0" w:name="_Hlk156404190"/>
      <w:r w:rsidRPr="006727B9">
        <w:rPr>
          <w:rFonts w:ascii="Garamond" w:hAnsi="Garamond" w:cs="Times New Roman"/>
          <w:sz w:val="24"/>
          <w:szCs w:val="24"/>
        </w:rPr>
        <w:t xml:space="preserve">3) certidões que comprovem a regularidade perante a Fazenda Estadual ou Distrital do domicílio ou sede do contratado; </w:t>
      </w:r>
      <w:bookmarkEnd w:id="0"/>
      <w:r w:rsidRPr="006727B9">
        <w:rPr>
          <w:rFonts w:ascii="Garamond" w:hAnsi="Garamond" w:cs="Times New Roman"/>
          <w:sz w:val="24"/>
          <w:szCs w:val="24"/>
        </w:rPr>
        <w:t xml:space="preserve">4) certidões que comprovem a regularidade perante a Fazenda </w:t>
      </w:r>
      <w:r w:rsidRPr="006727B9">
        <w:rPr>
          <w:rFonts w:ascii="Garamond" w:hAnsi="Garamond" w:cs="Times New Roman"/>
          <w:sz w:val="24"/>
          <w:szCs w:val="24"/>
        </w:rPr>
        <w:lastRenderedPageBreak/>
        <w:t xml:space="preserve">Municipal do domicílio ou sede do contratado; 4) Certidão de Regularidade do FGTS – CRF; e 5) Certidão Negativa de Débitos Trabalhistas – CNDT; </w:t>
      </w:r>
    </w:p>
    <w:p w14:paraId="149E4AF0"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ADA2D8"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Comunicar ao Fiscal do contrato, no prazo de 24 (vinte e quatro) horas, qualquer ocorrência anormal ou acidente que se verifique no local da execução do objeto contratual.</w:t>
      </w:r>
    </w:p>
    <w:p w14:paraId="7B4D0125"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Paralisar, por determinação do contratante, qualquer atividade que não esteja sendo executada de acordo com a boa técnica ou que ponha em risco a segurança de pessoas ou bens de terceiros.</w:t>
      </w:r>
    </w:p>
    <w:p w14:paraId="5431EFFC"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Manter durante toda a vigência do contrato, em compatibilidade com as obrigações assumidas, todas as condições exigidas para habilitação na licitação; </w:t>
      </w:r>
    </w:p>
    <w:p w14:paraId="1AD08704" w14:textId="77777777" w:rsidR="00381F54" w:rsidRPr="006727B9" w:rsidRDefault="00000000">
      <w:pPr>
        <w:pStyle w:val="Nivel2"/>
        <w:rPr>
          <w:rFonts w:ascii="Garamond" w:hAnsi="Garamond" w:cs="Times New Roman"/>
          <w:b/>
          <w:bCs/>
          <w:sz w:val="24"/>
          <w:szCs w:val="24"/>
        </w:rPr>
      </w:pPr>
      <w:r w:rsidRPr="006727B9">
        <w:rPr>
          <w:rFonts w:ascii="Garamond" w:hAnsi="Garamond"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17" w:anchor="art116" w:tooltip="http://www.planalto.gov.br/ccivil_03/_ato2019-2022/2021/lei/L14133.htm#art116" w:history="1">
        <w:r w:rsidR="00381F54" w:rsidRPr="006727B9">
          <w:rPr>
            <w:rStyle w:val="Hyperlink"/>
            <w:rFonts w:ascii="Garamond" w:hAnsi="Garamond" w:cs="Times New Roman"/>
            <w:sz w:val="24"/>
            <w:szCs w:val="24"/>
          </w:rPr>
          <w:t>art. 116, da Lei n.º 14.133, de 2021</w:t>
        </w:r>
      </w:hyperlink>
      <w:r w:rsidRPr="006727B9">
        <w:rPr>
          <w:rFonts w:ascii="Garamond" w:hAnsi="Garamond" w:cs="Times New Roman"/>
          <w:sz w:val="24"/>
          <w:szCs w:val="24"/>
        </w:rPr>
        <w:t>);</w:t>
      </w:r>
    </w:p>
    <w:p w14:paraId="4CD87094"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Comprovar a reserva de cargos a que se refere a cláusula acima, no prazo fixado pelo fiscal do contrato, com a indicação dos empregados que preencheram as referidas vagas (</w:t>
      </w:r>
      <w:hyperlink r:id="rId18" w:anchor="art116" w:tooltip="http://www.planalto.gov.br/ccivil_03/_ato2019-2022/2021/lei/L14133.htm#art116" w:history="1">
        <w:r w:rsidR="00381F54" w:rsidRPr="006727B9">
          <w:rPr>
            <w:rStyle w:val="Hyperlink"/>
            <w:rFonts w:ascii="Garamond" w:hAnsi="Garamond" w:cs="Times New Roman"/>
            <w:sz w:val="24"/>
            <w:szCs w:val="24"/>
          </w:rPr>
          <w:t>art. 116, parágrafo único, da Lei n.º 14.133, de 2021</w:t>
        </w:r>
      </w:hyperlink>
      <w:r w:rsidRPr="006727B9">
        <w:rPr>
          <w:rFonts w:ascii="Garamond" w:hAnsi="Garamond" w:cs="Times New Roman"/>
          <w:sz w:val="24"/>
          <w:szCs w:val="24"/>
        </w:rPr>
        <w:t>);</w:t>
      </w:r>
    </w:p>
    <w:p w14:paraId="2663CC96"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Guardar sigilo sobre todas as informações obtidas em decorrência do cumprimento do contrato; </w:t>
      </w:r>
    </w:p>
    <w:p w14:paraId="5DAC62C5"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9" w:anchor="art124" w:tooltip="http://www.planalto.gov.br/ccivil_03/_ato2019-2022/2021/lei/L14133.htm#art124" w:history="1">
        <w:r w:rsidR="00381F54" w:rsidRPr="006727B9">
          <w:rPr>
            <w:rStyle w:val="Hyperlink"/>
            <w:rFonts w:ascii="Garamond" w:hAnsi="Garamond" w:cs="Times New Roman"/>
            <w:sz w:val="24"/>
            <w:szCs w:val="24"/>
          </w:rPr>
          <w:t>art. 124, II, d, da Lei nº 14.133, de 2021.</w:t>
        </w:r>
      </w:hyperlink>
    </w:p>
    <w:p w14:paraId="3955F5F6"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Cumprir, além dos postulados legais vigentes de âmbito federal, estadual ou municipal, as normas de segurança do contratante;</w:t>
      </w:r>
    </w:p>
    <w:p w14:paraId="31C9A267" w14:textId="77777777" w:rsidR="00381F54" w:rsidRPr="006727B9" w:rsidRDefault="00000000">
      <w:pPr>
        <w:pStyle w:val="Nvel2-Red"/>
        <w:rPr>
          <w:rFonts w:ascii="Garamond" w:hAnsi="Garamond" w:cs="Times New Roman"/>
          <w:color w:val="000000" w:themeColor="text1"/>
          <w:sz w:val="24"/>
          <w:szCs w:val="24"/>
        </w:rPr>
      </w:pPr>
      <w:bookmarkStart w:id="1" w:name="_Ref118293001"/>
      <w:r w:rsidRPr="006727B9">
        <w:rPr>
          <w:rFonts w:ascii="Garamond" w:hAnsi="Garamond" w:cs="Times New Roman"/>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1"/>
    </w:p>
    <w:p w14:paraId="1F682090"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Orientar e treinar seus empregados sobre os deveres previstos na Lei nº 13.709, de 14 de agosto de 2018 (LGPD), adotando medidas eficazes para proteção de dados pessoais a que tenha acesso por força da execução deste contrato;</w:t>
      </w:r>
    </w:p>
    <w:p w14:paraId="78B5F14D"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Conduzir os trabalhos com estrita observância às normas da legislação pertinente, cumprindo as determinações dos Poderes Públicos, mantendo sempre limpo o local d</w:t>
      </w:r>
      <w:r w:rsidRPr="006727B9">
        <w:rPr>
          <w:rFonts w:ascii="Garamond" w:hAnsi="Garamond" w:cs="Times New Roman"/>
          <w:sz w:val="24"/>
          <w:szCs w:val="24"/>
          <w:lang w:eastAsia="en-US"/>
        </w:rPr>
        <w:t>e execução do objeto</w:t>
      </w:r>
      <w:r w:rsidRPr="006727B9">
        <w:rPr>
          <w:rFonts w:ascii="Garamond" w:hAnsi="Garamond" w:cs="Times New Roman"/>
          <w:sz w:val="24"/>
          <w:szCs w:val="24"/>
        </w:rPr>
        <w:t xml:space="preserve"> e nas melhores condições de segurança, higiene e disciplina.</w:t>
      </w:r>
    </w:p>
    <w:p w14:paraId="76F711A1"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lastRenderedPageBreak/>
        <w:t>Submeter previamente, por escrito, ao contratante, para análise e aprovação, quaisquer mudanças nos métodos executivos que fujam às especificações do memorial descritivo ou instrumento congênere.</w:t>
      </w:r>
    </w:p>
    <w:p w14:paraId="7F6C34A9" w14:textId="77777777" w:rsidR="00381F54" w:rsidRPr="006727B9" w:rsidRDefault="00000000">
      <w:pPr>
        <w:pStyle w:val="Nvel2-Red"/>
        <w:rPr>
          <w:rFonts w:ascii="Garamond" w:hAnsi="Garamond" w:cs="Times New Roman"/>
          <w:color w:val="000000"/>
          <w:sz w:val="24"/>
          <w:szCs w:val="24"/>
        </w:rPr>
      </w:pPr>
      <w:bookmarkStart w:id="2" w:name="_Ref118293030"/>
      <w:r w:rsidRPr="006727B9">
        <w:rPr>
          <w:rFonts w:ascii="Garamond" w:hAnsi="Garamond"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
    </w:p>
    <w:tbl>
      <w:tblPr>
        <w:tblStyle w:val="Tabelacomgrade"/>
        <w:tblW w:w="0" w:type="auto"/>
        <w:tblInd w:w="360" w:type="dxa"/>
        <w:tblLook w:val="04A0" w:firstRow="1" w:lastRow="0" w:firstColumn="1" w:lastColumn="0" w:noHBand="0" w:noVBand="1"/>
      </w:tblPr>
      <w:tblGrid>
        <w:gridCol w:w="1117"/>
        <w:gridCol w:w="7583"/>
      </w:tblGrid>
      <w:tr w:rsidR="00381F54" w:rsidRPr="006727B9" w14:paraId="636CF24F" w14:textId="77777777">
        <w:trPr>
          <w:trHeight w:val="385"/>
        </w:trPr>
        <w:tc>
          <w:tcPr>
            <w:tcW w:w="9832" w:type="dxa"/>
            <w:gridSpan w:val="2"/>
          </w:tcPr>
          <w:p w14:paraId="752D3C3D"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42BC256C" w14:textId="77777777">
        <w:tc>
          <w:tcPr>
            <w:tcW w:w="1195" w:type="dxa"/>
          </w:tcPr>
          <w:p w14:paraId="6598AE2B" w14:textId="61E7C52B"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9.18 a 9.2</w:t>
            </w:r>
            <w:r w:rsidR="006B2688" w:rsidRPr="006727B9">
              <w:rPr>
                <w:rFonts w:ascii="Garamond" w:hAnsi="Garamond" w:cs="Times New Roman"/>
                <w:sz w:val="24"/>
                <w:szCs w:val="24"/>
              </w:rPr>
              <w:t>2</w:t>
            </w:r>
          </w:p>
        </w:tc>
        <w:tc>
          <w:tcPr>
            <w:tcW w:w="8637" w:type="dxa"/>
          </w:tcPr>
          <w:p w14:paraId="2D5E8FEC" w14:textId="77777777" w:rsidR="00381F54" w:rsidRPr="006727B9" w:rsidRDefault="00000000">
            <w:pPr>
              <w:pStyle w:val="pf0"/>
              <w:jc w:val="both"/>
              <w:rPr>
                <w:rFonts w:ascii="Garamond" w:hAnsi="Garamond"/>
              </w:rPr>
            </w:pPr>
            <w:r w:rsidRPr="006727B9">
              <w:rPr>
                <w:rStyle w:val="cf01"/>
                <w:rFonts w:ascii="Garamond" w:hAnsi="Garamond" w:cs="Times New Roman"/>
                <w:sz w:val="24"/>
                <w:szCs w:val="24"/>
              </w:rPr>
              <w:t>No caso de aquisição de bens com prestação de serviços acessórios, recomenda-se avaliar a inclusão dos subitens 9.18 a 9.22.</w:t>
            </w:r>
          </w:p>
          <w:p w14:paraId="1FC42495" w14:textId="77777777" w:rsidR="00381F54" w:rsidRPr="006727B9" w:rsidRDefault="00000000">
            <w:pPr>
              <w:pStyle w:val="pf0"/>
              <w:jc w:val="both"/>
              <w:rPr>
                <w:rFonts w:ascii="Garamond" w:hAnsi="Garamond"/>
                <w:i/>
                <w:iCs/>
              </w:rPr>
            </w:pPr>
            <w:r w:rsidRPr="006727B9">
              <w:rPr>
                <w:rStyle w:val="cf01"/>
                <w:rFonts w:ascii="Garamond" w:hAnsi="Garamond" w:cs="Times New Roman"/>
                <w:sz w:val="24"/>
                <w:szCs w:val="24"/>
              </w:rPr>
              <w:t>As cláusulas 9.18 a 9.22 são meramente indicativas. Pode ser necessário que se suprimam algumas das obrigações ou se arrolem outras, conforme as peculiaridades do órgão e as especificações do objeto a ser executado.</w:t>
            </w:r>
          </w:p>
        </w:tc>
      </w:tr>
    </w:tbl>
    <w:p w14:paraId="46F46A0A" w14:textId="77777777" w:rsidR="00381F54" w:rsidRPr="006727B9" w:rsidRDefault="00381F54">
      <w:pPr>
        <w:pStyle w:val="Nvel2-Red"/>
        <w:numPr>
          <w:ilvl w:val="0"/>
          <w:numId w:val="0"/>
        </w:numPr>
        <w:rPr>
          <w:rFonts w:ascii="Garamond" w:hAnsi="Garamond" w:cs="Times New Roman"/>
          <w:color w:val="000000"/>
          <w:sz w:val="24"/>
          <w:szCs w:val="24"/>
        </w:rPr>
      </w:pPr>
    </w:p>
    <w:p w14:paraId="2994D840"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DÉCIMA– GARANTIA DE EXECUÇÃO (</w:t>
      </w:r>
      <w:hyperlink r:id="rId20" w:anchor="art92" w:tooltip="http://www.planalto.gov.br/ccivil_03/_ato2019-2022/2021/lei/L14133.htm#art92" w:history="1">
        <w:r w:rsidR="00381F54" w:rsidRPr="006727B9">
          <w:rPr>
            <w:rStyle w:val="Hyperlink"/>
            <w:rFonts w:ascii="Garamond" w:hAnsi="Garamond" w:cs="Times New Roman"/>
            <w:sz w:val="24"/>
            <w:szCs w:val="24"/>
          </w:rPr>
          <w:t>art. 92, XII</w:t>
        </w:r>
      </w:hyperlink>
      <w:r w:rsidRPr="006727B9">
        <w:rPr>
          <w:rFonts w:ascii="Garamond" w:hAnsi="Garamond" w:cs="Times New Roman"/>
          <w:sz w:val="24"/>
          <w:szCs w:val="24"/>
        </w:rPr>
        <w:t>)</w:t>
      </w:r>
    </w:p>
    <w:p w14:paraId="4E38E830"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  Não haverá exigência de garantia contratual da execução.</w:t>
      </w:r>
    </w:p>
    <w:p w14:paraId="78306A93" w14:textId="77777777" w:rsidR="00381F54" w:rsidRPr="006727B9" w:rsidRDefault="00000000">
      <w:pPr>
        <w:pStyle w:val="ou"/>
        <w:rPr>
          <w:rFonts w:ascii="Garamond" w:hAnsi="Garamond" w:cs="Times New Roman"/>
        </w:rPr>
      </w:pPr>
      <w:r w:rsidRPr="006727B9">
        <w:rPr>
          <w:rFonts w:ascii="Garamond" w:hAnsi="Garamond" w:cs="Times New Roman"/>
        </w:rPr>
        <w:t>OU</w:t>
      </w:r>
    </w:p>
    <w:p w14:paraId="7475943E"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A contratação conta com garantia de execução, nos moldes do </w:t>
      </w:r>
      <w:hyperlink r:id="rId21" w:anchor="art96" w:tooltip="http://www.planalto.gov.br/ccivil_03/_ato2019-2022/2021/lei/L14133.htm#art96" w:history="1">
        <w:r w:rsidR="00381F54" w:rsidRPr="006727B9">
          <w:rPr>
            <w:rStyle w:val="Hyperlink"/>
            <w:rFonts w:ascii="Garamond" w:hAnsi="Garamond" w:cs="Times New Roman"/>
            <w:sz w:val="24"/>
            <w:szCs w:val="24"/>
          </w:rPr>
          <w:t>art. 96 da Lei nº 14.133</w:t>
        </w:r>
      </w:hyperlink>
      <w:r w:rsidRPr="006727B9">
        <w:rPr>
          <w:rStyle w:val="Hyperlink"/>
          <w:rFonts w:ascii="Garamond" w:hAnsi="Garamond" w:cs="Times New Roman"/>
          <w:sz w:val="24"/>
          <w:szCs w:val="24"/>
        </w:rPr>
        <w:t>, de 2021</w:t>
      </w:r>
      <w:r w:rsidRPr="006727B9">
        <w:rPr>
          <w:rFonts w:ascii="Garamond" w:hAnsi="Garamond" w:cs="Times New Roman"/>
          <w:sz w:val="24"/>
          <w:szCs w:val="24"/>
        </w:rPr>
        <w:t xml:space="preserve">, </w:t>
      </w:r>
      <w:r w:rsidRPr="006727B9">
        <w:rPr>
          <w:rFonts w:ascii="Garamond" w:hAnsi="Garamond" w:cs="Times New Roman"/>
          <w:sz w:val="24"/>
          <w:szCs w:val="24"/>
          <w:highlight w:val="yellow"/>
        </w:rPr>
        <w:t>na modalidade XXXXXX</w:t>
      </w:r>
      <w:r w:rsidRPr="006727B9">
        <w:rPr>
          <w:rFonts w:ascii="Garamond" w:hAnsi="Garamond" w:cs="Times New Roman"/>
          <w:sz w:val="24"/>
          <w:szCs w:val="24"/>
        </w:rPr>
        <w:t>, em valor correspondente a X% (XXXX por cento) do valor inicial/total/anual do contrato.</w:t>
      </w:r>
    </w:p>
    <w:p w14:paraId="5DC4FEB1" w14:textId="77777777" w:rsidR="00381F54" w:rsidRPr="006727B9" w:rsidRDefault="00381F54">
      <w:pPr>
        <w:pStyle w:val="Nvel2-Red"/>
        <w:numPr>
          <w:ilvl w:val="0"/>
          <w:numId w:val="0"/>
        </w:numPr>
        <w:rPr>
          <w:rFonts w:ascii="Garamond" w:hAnsi="Garamond" w:cs="Times New Roman"/>
          <w:sz w:val="24"/>
          <w:szCs w:val="24"/>
        </w:rPr>
      </w:pPr>
    </w:p>
    <w:tbl>
      <w:tblPr>
        <w:tblStyle w:val="Tabelacomgrade"/>
        <w:tblW w:w="0" w:type="auto"/>
        <w:tblLook w:val="04A0" w:firstRow="1" w:lastRow="0" w:firstColumn="1" w:lastColumn="0" w:noHBand="0" w:noVBand="1"/>
      </w:tblPr>
      <w:tblGrid>
        <w:gridCol w:w="1135"/>
        <w:gridCol w:w="7925"/>
      </w:tblGrid>
      <w:tr w:rsidR="00381F54" w:rsidRPr="006727B9" w14:paraId="6158CA2E" w14:textId="77777777">
        <w:trPr>
          <w:trHeight w:val="385"/>
        </w:trPr>
        <w:tc>
          <w:tcPr>
            <w:tcW w:w="9832" w:type="dxa"/>
            <w:gridSpan w:val="2"/>
          </w:tcPr>
          <w:p w14:paraId="696BA2FE"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lastRenderedPageBreak/>
              <w:t xml:space="preserve">Notas explicativas </w:t>
            </w:r>
          </w:p>
        </w:tc>
      </w:tr>
      <w:tr w:rsidR="00381F54" w:rsidRPr="006727B9" w14:paraId="72D04849" w14:textId="77777777">
        <w:tc>
          <w:tcPr>
            <w:tcW w:w="1195" w:type="dxa"/>
          </w:tcPr>
          <w:p w14:paraId="265133BC"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10.1 e 10.2</w:t>
            </w:r>
          </w:p>
        </w:tc>
        <w:tc>
          <w:tcPr>
            <w:tcW w:w="8637" w:type="dxa"/>
          </w:tcPr>
          <w:p w14:paraId="143A71CA" w14:textId="77777777" w:rsidR="00381F54" w:rsidRPr="006727B9" w:rsidRDefault="00000000">
            <w:pPr>
              <w:pStyle w:val="pf0"/>
              <w:jc w:val="both"/>
              <w:rPr>
                <w:rFonts w:ascii="Garamond" w:hAnsi="Garamond"/>
                <w:b/>
                <w:bCs/>
              </w:rPr>
            </w:pPr>
            <w:r w:rsidRPr="006727B9">
              <w:rPr>
                <w:rStyle w:val="cf01"/>
                <w:rFonts w:ascii="Garamond" w:hAnsi="Garamond" w:cs="Times New Roman"/>
                <w:b/>
                <w:bCs/>
                <w:i w:val="0"/>
                <w:iCs w:val="0"/>
                <w:sz w:val="24"/>
                <w:szCs w:val="24"/>
              </w:rPr>
              <w:t>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p w14:paraId="212C1898" w14:textId="77777777" w:rsidR="00381F54" w:rsidRPr="00B46868" w:rsidRDefault="00000000">
            <w:pPr>
              <w:spacing w:before="100" w:beforeAutospacing="1" w:after="100" w:afterAutospacing="1"/>
              <w:jc w:val="both"/>
              <w:rPr>
                <w:rFonts w:ascii="Garamond" w:eastAsia="Times New Roman" w:hAnsi="Garamond"/>
                <w:b/>
                <w:bCs/>
                <w:sz w:val="24"/>
                <w:szCs w:val="24"/>
              </w:rPr>
            </w:pPr>
            <w:r w:rsidRPr="00B46868">
              <w:rPr>
                <w:rFonts w:ascii="Garamond" w:eastAsia="Times New Roman" w:hAnsi="Garamond"/>
                <w:b/>
                <w:bCs/>
                <w:sz w:val="24"/>
                <w:szCs w:val="24"/>
                <w:shd w:val="clear" w:color="auto" w:fill="FFFF00"/>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33B83A43" w14:textId="77777777" w:rsidR="00381F54" w:rsidRPr="006727B9" w:rsidRDefault="00000000">
            <w:pPr>
              <w:spacing w:before="100" w:beforeAutospacing="1" w:after="100" w:afterAutospacing="1"/>
              <w:jc w:val="both"/>
              <w:rPr>
                <w:rFonts w:ascii="Garamond" w:eastAsia="Times New Roman" w:hAnsi="Garamond"/>
                <w:b/>
                <w:bCs/>
                <w:sz w:val="24"/>
                <w:szCs w:val="24"/>
              </w:rPr>
            </w:pPr>
            <w:r w:rsidRPr="00B46868">
              <w:rPr>
                <w:rFonts w:ascii="Garamond" w:eastAsia="Times New Roman" w:hAnsi="Garamond"/>
                <w:b/>
                <w:bCs/>
                <w:sz w:val="24"/>
                <w:szCs w:val="24"/>
                <w:shd w:val="clear" w:color="auto" w:fill="FFFF00"/>
              </w:rPr>
              <w:t>Quando o adjudicatário optar pela oferta de seguro-garantia, deverá fazê-lo previamente à assinatura do contrato, conforme prazo fixado no edital (no prazo mínimo de um mês), contado da data de homologação da licitação (art. 96, §3º, da Lei n.º 14.133/2021).</w:t>
            </w:r>
          </w:p>
          <w:p w14:paraId="3D9FFB46" w14:textId="77777777" w:rsidR="00381F54" w:rsidRPr="006727B9" w:rsidRDefault="00000000">
            <w:pPr>
              <w:spacing w:before="100" w:beforeAutospacing="1" w:after="100" w:afterAutospacing="1"/>
              <w:jc w:val="both"/>
              <w:rPr>
                <w:rFonts w:ascii="Garamond" w:eastAsia="Times New Roman" w:hAnsi="Garamond"/>
                <w:b/>
                <w:bCs/>
                <w:sz w:val="24"/>
                <w:szCs w:val="24"/>
              </w:rPr>
            </w:pPr>
            <w:r w:rsidRPr="006727B9">
              <w:rPr>
                <w:rFonts w:ascii="Garamond" w:eastAsia="Times New Roman" w:hAnsi="Garamond"/>
                <w:b/>
                <w:bCs/>
                <w:sz w:val="24"/>
                <w:szCs w:val="24"/>
              </w:rPr>
              <w:t xml:space="preserve">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3D778B97" w14:textId="77777777" w:rsidR="00381F54" w:rsidRPr="006727B9" w:rsidRDefault="00000000">
            <w:pPr>
              <w:spacing w:before="100" w:beforeAutospacing="1" w:after="100" w:afterAutospacing="1"/>
              <w:jc w:val="both"/>
              <w:rPr>
                <w:rFonts w:ascii="Garamond" w:eastAsia="Times New Roman" w:hAnsi="Garamond"/>
                <w:b/>
                <w:bCs/>
                <w:sz w:val="24"/>
                <w:szCs w:val="24"/>
              </w:rPr>
            </w:pPr>
            <w:r w:rsidRPr="006727B9">
              <w:rPr>
                <w:rFonts w:ascii="Garamond" w:eastAsia="Times New Roman" w:hAnsi="Garamond"/>
                <w:b/>
                <w:bCs/>
                <w:sz w:val="24"/>
                <w:szCs w:val="24"/>
              </w:rPr>
              <w:t xml:space="preserve">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2E32ED8F" w14:textId="77777777" w:rsidR="00381F54" w:rsidRPr="006727B9" w:rsidRDefault="00000000">
            <w:pPr>
              <w:spacing w:before="100" w:beforeAutospacing="1" w:after="100" w:afterAutospacing="1"/>
              <w:jc w:val="both"/>
              <w:rPr>
                <w:rFonts w:ascii="Garamond" w:hAnsi="Garamond"/>
                <w:i/>
                <w:iCs/>
                <w:sz w:val="24"/>
                <w:szCs w:val="24"/>
              </w:rPr>
            </w:pPr>
            <w:r w:rsidRPr="006727B9">
              <w:rPr>
                <w:rFonts w:ascii="Garamond" w:eastAsia="Times New Roman" w:hAnsi="Garamond"/>
                <w:b/>
                <w:bCs/>
                <w:sz w:val="24"/>
                <w:szCs w:val="24"/>
              </w:rPr>
              <w:t>Nos casos de contratos que impliquem a entrega de bens pela Administração (art. 101 da Lei n.º 14.133, de 2021), dos quais o contratado ficará depositário, deverá haver nos autos certificação do valor dos bens, e ser utilizada a opção dos itens 10.3 ou 10.5.</w:t>
            </w:r>
          </w:p>
        </w:tc>
      </w:tr>
    </w:tbl>
    <w:p w14:paraId="3B720158" w14:textId="77777777" w:rsidR="00381F54" w:rsidRPr="006727B9" w:rsidRDefault="00381F54">
      <w:pPr>
        <w:pStyle w:val="Nvel2-Red"/>
        <w:numPr>
          <w:ilvl w:val="0"/>
          <w:numId w:val="0"/>
        </w:numPr>
        <w:rPr>
          <w:rFonts w:ascii="Garamond" w:hAnsi="Garamond" w:cs="Times New Roman"/>
          <w:sz w:val="24"/>
          <w:szCs w:val="24"/>
        </w:rPr>
      </w:pPr>
    </w:p>
    <w:p w14:paraId="1FAA6B4E" w14:textId="77777777" w:rsidR="00381F54" w:rsidRPr="006727B9" w:rsidRDefault="00000000">
      <w:pPr>
        <w:pStyle w:val="ou"/>
        <w:rPr>
          <w:rFonts w:ascii="Garamond" w:hAnsi="Garamond" w:cs="Times New Roman"/>
        </w:rPr>
      </w:pPr>
      <w:r w:rsidRPr="006727B9">
        <w:rPr>
          <w:rFonts w:ascii="Garamond" w:hAnsi="Garamond" w:cs="Times New Roman"/>
        </w:rPr>
        <w:t>OU</w:t>
      </w:r>
    </w:p>
    <w:p w14:paraId="67E35D1C"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A contratação conta com garantia de execução do contrato, nos moldes do </w:t>
      </w:r>
      <w:hyperlink r:id="rId22" w:anchor="art96" w:tooltip="http://www.planalto.gov.br/ccivil_03/_ato2019-2022/2021/lei/L14133.htm#art96" w:history="1">
        <w:r w:rsidR="00381F54" w:rsidRPr="006727B9">
          <w:rPr>
            <w:rStyle w:val="Hyperlink"/>
            <w:rFonts w:ascii="Garamond" w:hAnsi="Garamond" w:cs="Times New Roman"/>
            <w:sz w:val="24"/>
            <w:szCs w:val="24"/>
          </w:rPr>
          <w:t>art. 96, combinado com art. 101, ambos da Lei nº 14.133, de 2021</w:t>
        </w:r>
      </w:hyperlink>
      <w:r w:rsidRPr="006727B9">
        <w:rPr>
          <w:rStyle w:val="Hyperlink"/>
          <w:rFonts w:ascii="Garamond" w:hAnsi="Garamond" w:cs="Times New Roman"/>
          <w:sz w:val="24"/>
          <w:szCs w:val="24"/>
        </w:rPr>
        <w:t>,</w:t>
      </w:r>
      <w:r w:rsidRPr="006727B9">
        <w:rPr>
          <w:rFonts w:ascii="Garamond" w:hAnsi="Garamond" w:cs="Times New Roman"/>
          <w:sz w:val="24"/>
          <w:szCs w:val="24"/>
        </w:rPr>
        <w:t xml:space="preserve"> </w:t>
      </w:r>
      <w:r w:rsidRPr="006727B9">
        <w:rPr>
          <w:rFonts w:ascii="Garamond" w:hAnsi="Garamond" w:cs="Times New Roman"/>
          <w:sz w:val="24"/>
          <w:szCs w:val="24"/>
          <w:highlight w:val="yellow"/>
        </w:rPr>
        <w:t>na modalidade XXXXXX</w:t>
      </w:r>
      <w:r w:rsidRPr="006727B9">
        <w:rPr>
          <w:rFonts w:ascii="Garamond" w:hAnsi="Garamond" w:cs="Times New Roman"/>
          <w:sz w:val="24"/>
          <w:szCs w:val="24"/>
        </w:rPr>
        <w:t>, em valor correspondente a X% (XXXX por cento) do valor total/anual do contrato, acrescido do valor dos bens abaixo arrolados, dos quais o contratado será depositário:</w:t>
      </w:r>
    </w:p>
    <w:p w14:paraId="1877E9D8"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 BEM 1.............. Valor</w:t>
      </w:r>
    </w:p>
    <w:p w14:paraId="4B52C1CF"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BEM 2 .............Valor</w:t>
      </w:r>
    </w:p>
    <w:p w14:paraId="40E200D5"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 ...</w:t>
      </w:r>
    </w:p>
    <w:p w14:paraId="3946D507"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lastRenderedPageBreak/>
        <w:t>TOTAL ............. Valor total</w:t>
      </w:r>
    </w:p>
    <w:p w14:paraId="6D674BBA" w14:textId="77777777" w:rsidR="00381F54" w:rsidRPr="006727B9" w:rsidRDefault="00000000">
      <w:pPr>
        <w:pStyle w:val="ou"/>
        <w:rPr>
          <w:rFonts w:ascii="Garamond" w:hAnsi="Garamond" w:cs="Times New Roman"/>
          <w:highlight w:val="yellow"/>
        </w:rPr>
      </w:pPr>
      <w:r w:rsidRPr="006727B9">
        <w:rPr>
          <w:rFonts w:ascii="Garamond" w:hAnsi="Garamond" w:cs="Times New Roman"/>
        </w:rPr>
        <w:t>OU</w:t>
      </w:r>
    </w:p>
    <w:p w14:paraId="2ED104C6"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contrato.</w:t>
      </w:r>
    </w:p>
    <w:p w14:paraId="23B0F07B" w14:textId="77777777" w:rsidR="00381F54" w:rsidRPr="006727B9" w:rsidRDefault="00000000">
      <w:pPr>
        <w:pStyle w:val="ou"/>
        <w:rPr>
          <w:rFonts w:ascii="Garamond" w:hAnsi="Garamond" w:cs="Times New Roman"/>
        </w:rPr>
      </w:pPr>
      <w:r w:rsidRPr="006727B9">
        <w:rPr>
          <w:rFonts w:ascii="Garamond" w:hAnsi="Garamond" w:cs="Times New Roman"/>
        </w:rPr>
        <w:t>OU</w:t>
      </w:r>
    </w:p>
    <w:p w14:paraId="56065C46"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 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w:t>
      </w:r>
      <w:r w:rsidRPr="006727B9">
        <w:rPr>
          <w:rFonts w:ascii="Garamond" w:hAnsi="Garamond" w:cs="Times New Roman"/>
          <w:i w:val="0"/>
          <w:sz w:val="24"/>
          <w:szCs w:val="24"/>
        </w:rPr>
        <w:t xml:space="preserve"> </w:t>
      </w:r>
      <w:r w:rsidRPr="006727B9">
        <w:rPr>
          <w:rFonts w:ascii="Garamond" w:hAnsi="Garamond" w:cs="Times New Roman"/>
          <w:sz w:val="24"/>
          <w:szCs w:val="24"/>
        </w:rPr>
        <w:t>acrescido do valor dos bens abaixo arrolados, dos quais o contratado será depositário:</w:t>
      </w:r>
    </w:p>
    <w:p w14:paraId="4D0ECF1B"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BEM 1.............. Valor</w:t>
      </w:r>
    </w:p>
    <w:p w14:paraId="4C2C2B4E"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 BEM 2 .............Valor</w:t>
      </w:r>
    </w:p>
    <w:p w14:paraId="558629C6"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 ...</w:t>
      </w:r>
    </w:p>
    <w:p w14:paraId="16FD73FD"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TOTAL ............. Valor total</w:t>
      </w:r>
    </w:p>
    <w:p w14:paraId="14576956"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Caso utili</w:t>
      </w:r>
      <w:r w:rsidRPr="006727B9">
        <w:rPr>
          <w:rFonts w:ascii="Garamond" w:hAnsi="Garamond" w:cs="Times New Roman"/>
          <w:sz w:val="24"/>
          <w:szCs w:val="24"/>
          <w:lang w:eastAsia="en-US"/>
        </w:rPr>
        <w:t xml:space="preserve">zada a modalidade </w:t>
      </w:r>
      <w:r w:rsidRPr="006727B9">
        <w:rPr>
          <w:rFonts w:ascii="Garamond" w:hAnsi="Garamond" w:cs="Times New Roman"/>
          <w:sz w:val="24"/>
          <w:szCs w:val="24"/>
        </w:rPr>
        <w:t>de seguro-garantia, a apólice deverá ter validade durante a vigência do contrato E/OU por XXXXXX dias após o término da vigência contratual, permanecendo em vigor mesmo que o contratado não pague o prêmio nas datas convencionadas.</w:t>
      </w:r>
    </w:p>
    <w:p w14:paraId="7870B319" w14:textId="77777777" w:rsidR="00381F54" w:rsidRPr="006727B9" w:rsidRDefault="00381F54">
      <w:pPr>
        <w:pStyle w:val="Nvel2-Red"/>
        <w:numPr>
          <w:ilvl w:val="0"/>
          <w:numId w:val="0"/>
        </w:numPr>
        <w:rPr>
          <w:rFonts w:ascii="Garamond" w:hAnsi="Garamond" w:cs="Times New Roman"/>
          <w:sz w:val="24"/>
          <w:szCs w:val="24"/>
        </w:rPr>
      </w:pPr>
    </w:p>
    <w:tbl>
      <w:tblPr>
        <w:tblStyle w:val="Tabelacomgrade"/>
        <w:tblW w:w="0" w:type="auto"/>
        <w:tblInd w:w="360" w:type="dxa"/>
        <w:tblLook w:val="04A0" w:firstRow="1" w:lastRow="0" w:firstColumn="1" w:lastColumn="0" w:noHBand="0" w:noVBand="1"/>
      </w:tblPr>
      <w:tblGrid>
        <w:gridCol w:w="1111"/>
        <w:gridCol w:w="7589"/>
      </w:tblGrid>
      <w:tr w:rsidR="00381F54" w:rsidRPr="006727B9" w14:paraId="3D9536FE" w14:textId="77777777">
        <w:trPr>
          <w:trHeight w:val="385"/>
        </w:trPr>
        <w:tc>
          <w:tcPr>
            <w:tcW w:w="9832" w:type="dxa"/>
            <w:gridSpan w:val="2"/>
          </w:tcPr>
          <w:p w14:paraId="1693C264"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lastRenderedPageBreak/>
              <w:t xml:space="preserve">Notas explicativas </w:t>
            </w:r>
          </w:p>
        </w:tc>
      </w:tr>
      <w:tr w:rsidR="00381F54" w:rsidRPr="006727B9" w14:paraId="41E82B9A" w14:textId="77777777">
        <w:tc>
          <w:tcPr>
            <w:tcW w:w="1195" w:type="dxa"/>
          </w:tcPr>
          <w:p w14:paraId="206B7EC0"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10.4  </w:t>
            </w:r>
          </w:p>
          <w:p w14:paraId="56EA425F" w14:textId="77777777" w:rsidR="00381F54" w:rsidRPr="006727B9" w:rsidRDefault="00381F54">
            <w:pPr>
              <w:pStyle w:val="Nivel01"/>
              <w:numPr>
                <w:ilvl w:val="0"/>
                <w:numId w:val="0"/>
              </w:numPr>
              <w:rPr>
                <w:rFonts w:ascii="Garamond" w:hAnsi="Garamond" w:cs="Times New Roman"/>
                <w:sz w:val="24"/>
                <w:szCs w:val="24"/>
              </w:rPr>
            </w:pPr>
          </w:p>
          <w:p w14:paraId="7401204F" w14:textId="77777777" w:rsidR="00381F54" w:rsidRPr="006727B9" w:rsidRDefault="00381F54">
            <w:pPr>
              <w:pStyle w:val="Nivel01"/>
              <w:numPr>
                <w:ilvl w:val="0"/>
                <w:numId w:val="0"/>
              </w:numPr>
              <w:rPr>
                <w:rFonts w:ascii="Garamond" w:hAnsi="Garamond" w:cs="Times New Roman"/>
                <w:sz w:val="24"/>
                <w:szCs w:val="24"/>
              </w:rPr>
            </w:pPr>
          </w:p>
          <w:p w14:paraId="6A4162D2"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10.6</w:t>
            </w:r>
          </w:p>
        </w:tc>
        <w:tc>
          <w:tcPr>
            <w:tcW w:w="8637" w:type="dxa"/>
          </w:tcPr>
          <w:p w14:paraId="6978F052" w14:textId="77777777" w:rsidR="00381F54" w:rsidRPr="006727B9" w:rsidRDefault="00000000">
            <w:pPr>
              <w:spacing w:before="100" w:beforeAutospacing="1" w:after="100" w:afterAutospacing="1"/>
              <w:jc w:val="both"/>
              <w:rPr>
                <w:rFonts w:ascii="Garamond" w:eastAsia="Times New Roman" w:hAnsi="Garamond"/>
                <w:b/>
                <w:bCs/>
                <w:sz w:val="24"/>
                <w:szCs w:val="24"/>
              </w:rPr>
            </w:pPr>
            <w:r w:rsidRPr="006727B9">
              <w:rPr>
                <w:rFonts w:ascii="Garamond" w:eastAsia="Times New Roman" w:hAnsi="Garamond"/>
                <w:b/>
                <w:bCs/>
                <w:sz w:val="24"/>
                <w:szCs w:val="24"/>
                <w:shd w:val="clear" w:color="auto" w:fill="FFFF00"/>
              </w:rPr>
              <w:t>Caso o adjudicatário não opte pela oferta de seguro-garantia, poderá ofertar a fiança bancária, a caução em dinheiro ou em títulos da dívida pública antes ou depois da assinatura do termo de contrato. Na segunda hipótese, deverá ser feita a opção por um dos subitens a seguir (10.4 ou 10.5)</w:t>
            </w:r>
          </w:p>
          <w:p w14:paraId="5FA8786B" w14:textId="77777777" w:rsidR="00381F54" w:rsidRPr="006727B9" w:rsidRDefault="00000000">
            <w:pPr>
              <w:pStyle w:val="pf0"/>
              <w:jc w:val="both"/>
              <w:rPr>
                <w:rFonts w:ascii="Garamond" w:hAnsi="Garamond"/>
                <w:b/>
                <w:bCs/>
              </w:rPr>
            </w:pPr>
            <w:r w:rsidRPr="006727B9">
              <w:rPr>
                <w:rStyle w:val="cf01"/>
                <w:rFonts w:ascii="Garamond" w:hAnsi="Garamond" w:cs="Times New Roman"/>
                <w:b/>
                <w:bCs/>
                <w:i w:val="0"/>
                <w:iCs w:val="0"/>
                <w:sz w:val="24"/>
                <w:szCs w:val="24"/>
              </w:rPr>
              <w:t>O art. 97, I, da Lei nº 14.133/21, somente prevê prazo de vigência “igual ou superior ao estabelecido no contrato principal” para a modalidade de seguro-garantia, o que se alinha à exceção prevista no art. 7º, caput, da Circular SUSEP n° 662, de 11 de abril de 2022,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5D2079A9" w14:textId="77777777" w:rsidR="00381F54" w:rsidRPr="006727B9" w:rsidRDefault="00000000">
            <w:pPr>
              <w:pStyle w:val="pf0"/>
              <w:jc w:val="both"/>
              <w:rPr>
                <w:rFonts w:ascii="Garamond" w:hAnsi="Garamond"/>
                <w:i/>
                <w:iCs/>
              </w:rPr>
            </w:pPr>
            <w:r w:rsidRPr="006727B9">
              <w:rPr>
                <w:rStyle w:val="cf01"/>
                <w:rFonts w:ascii="Garamond" w:hAnsi="Garamond" w:cs="Times New Roman"/>
                <w:b/>
                <w:bCs/>
                <w:i w:val="0"/>
                <w:iCs w:val="0"/>
                <w:sz w:val="24"/>
                <w:szCs w:val="24"/>
              </w:rPr>
              <w:t>Deverá a Administração, no item 10.6, indicar se a garantia terá prazo de vigência igual ou superior à do contrato administrativo, estabelecendo, apenas na última hipótese, a vigência específica da apólice.</w:t>
            </w:r>
          </w:p>
        </w:tc>
      </w:tr>
    </w:tbl>
    <w:p w14:paraId="02DD794F" w14:textId="77777777" w:rsidR="00381F54" w:rsidRPr="006727B9" w:rsidRDefault="00381F54">
      <w:pPr>
        <w:pStyle w:val="Nvel2-Red"/>
        <w:numPr>
          <w:ilvl w:val="0"/>
          <w:numId w:val="0"/>
        </w:numPr>
        <w:rPr>
          <w:rFonts w:ascii="Garamond" w:hAnsi="Garamond" w:cs="Times New Roman"/>
          <w:sz w:val="24"/>
          <w:szCs w:val="24"/>
        </w:rPr>
      </w:pPr>
    </w:p>
    <w:p w14:paraId="05836E52"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A apólice do seguro garantia deverá acompanhar as modificações referentes à vigência do contrato principal mediante a emissão do respectivo endosso pela seguradora.</w:t>
      </w:r>
    </w:p>
    <w:p w14:paraId="1E2BF01F"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Será permitida a substituição da apólice de seguro-garantia na data de renovação ou de aniversário, desde que mantidas as condições e coberturas da apólice vigente e nenhum período fique descoberto, ressalvado o disposto no item </w:t>
      </w:r>
      <w:r w:rsidRPr="006727B9">
        <w:rPr>
          <w:rFonts w:ascii="Garamond" w:hAnsi="Garamond" w:cs="Times New Roman"/>
          <w:sz w:val="24"/>
          <w:szCs w:val="24"/>
        </w:rPr>
        <w:fldChar w:fldCharType="begin"/>
      </w:r>
      <w:r w:rsidRPr="006727B9">
        <w:rPr>
          <w:rFonts w:ascii="Garamond" w:hAnsi="Garamond" w:cs="Times New Roman"/>
          <w:sz w:val="24"/>
          <w:szCs w:val="24"/>
        </w:rPr>
        <w:instrText xml:space="preserve"> REF _Ref118297051 \r \h  \* MERGEFORMAT </w:instrText>
      </w:r>
      <w:r w:rsidRPr="006727B9">
        <w:rPr>
          <w:rFonts w:ascii="Garamond" w:hAnsi="Garamond" w:cs="Times New Roman"/>
          <w:sz w:val="24"/>
          <w:szCs w:val="24"/>
        </w:rPr>
      </w:r>
      <w:r w:rsidRPr="006727B9">
        <w:rPr>
          <w:rFonts w:ascii="Garamond" w:hAnsi="Garamond" w:cs="Times New Roman"/>
          <w:sz w:val="24"/>
          <w:szCs w:val="24"/>
        </w:rPr>
        <w:fldChar w:fldCharType="separate"/>
      </w:r>
      <w:r w:rsidRPr="006727B9">
        <w:rPr>
          <w:rFonts w:ascii="Garamond" w:hAnsi="Garamond" w:cs="Times New Roman"/>
          <w:sz w:val="24"/>
          <w:szCs w:val="24"/>
        </w:rPr>
        <w:t>10.9</w:t>
      </w:r>
      <w:r w:rsidRPr="006727B9">
        <w:rPr>
          <w:rFonts w:ascii="Garamond" w:hAnsi="Garamond" w:cs="Times New Roman"/>
          <w:sz w:val="24"/>
          <w:szCs w:val="24"/>
        </w:rPr>
        <w:fldChar w:fldCharType="end"/>
      </w:r>
      <w:r w:rsidRPr="006727B9">
        <w:rPr>
          <w:rFonts w:ascii="Garamond" w:hAnsi="Garamond" w:cs="Times New Roman"/>
          <w:sz w:val="24"/>
          <w:szCs w:val="24"/>
        </w:rPr>
        <w:t xml:space="preserve"> deste contrato.</w:t>
      </w:r>
    </w:p>
    <w:p w14:paraId="16A7A5CE" w14:textId="77777777" w:rsidR="00381F54" w:rsidRPr="006727B9" w:rsidRDefault="00000000">
      <w:pPr>
        <w:pStyle w:val="Nvel2-Red"/>
        <w:rPr>
          <w:rFonts w:ascii="Garamond" w:hAnsi="Garamond" w:cs="Times New Roman"/>
          <w:sz w:val="24"/>
          <w:szCs w:val="24"/>
        </w:rPr>
      </w:pPr>
      <w:bookmarkStart w:id="3" w:name="_Ref118297051"/>
      <w:r w:rsidRPr="006727B9">
        <w:rPr>
          <w:rFonts w:ascii="Garamond" w:hAnsi="Garamond" w:cs="Times New Roman"/>
          <w:sz w:val="24"/>
          <w:szCs w:val="24"/>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
    </w:p>
    <w:p w14:paraId="38907E2E" w14:textId="77777777" w:rsidR="00381F54" w:rsidRPr="006727B9" w:rsidRDefault="00000000">
      <w:pPr>
        <w:pStyle w:val="Nvel2-Red"/>
        <w:rPr>
          <w:rFonts w:ascii="Garamond" w:hAnsi="Garamond" w:cs="Times New Roman"/>
          <w:sz w:val="24"/>
          <w:szCs w:val="24"/>
        </w:rPr>
      </w:pPr>
      <w:bookmarkStart w:id="4" w:name="_Ref118297166"/>
      <w:r w:rsidRPr="006727B9">
        <w:rPr>
          <w:rFonts w:ascii="Garamond" w:hAnsi="Garamond" w:cs="Times New Roman"/>
          <w:sz w:val="24"/>
          <w:szCs w:val="24"/>
        </w:rPr>
        <w:t>A garantia assegurará, qualquer que seja a modalidade escolhida, o pagamento de:</w:t>
      </w:r>
      <w:bookmarkEnd w:id="4"/>
      <w:r w:rsidRPr="006727B9">
        <w:rPr>
          <w:rFonts w:ascii="Garamond" w:hAnsi="Garamond" w:cs="Times New Roman"/>
          <w:sz w:val="24"/>
          <w:szCs w:val="24"/>
        </w:rPr>
        <w:t xml:space="preserve"> </w:t>
      </w:r>
    </w:p>
    <w:p w14:paraId="1A457E99"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prejuízos advindos do não cumprimento do objeto do contrato e do não adimplemento das demais obrigações nele previstas; </w:t>
      </w:r>
    </w:p>
    <w:p w14:paraId="77166123"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multas moratórias e punitivas aplicadas pela Administração à contratada; e  </w:t>
      </w:r>
    </w:p>
    <w:p w14:paraId="30996657"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obrigações trabalhistas e previdenciárias de qualquer natureza e para com o FGTS, não adimplidas pelo contratado, quando couber.</w:t>
      </w:r>
    </w:p>
    <w:p w14:paraId="07F7DD5E"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A modalidade seguro-garantia somente será aceita se contemplar todos os eventos indicados no item </w:t>
      </w:r>
      <w:r w:rsidRPr="006727B9">
        <w:rPr>
          <w:rFonts w:ascii="Garamond" w:hAnsi="Garamond" w:cs="Times New Roman"/>
          <w:sz w:val="24"/>
          <w:szCs w:val="24"/>
        </w:rPr>
        <w:fldChar w:fldCharType="begin"/>
      </w:r>
      <w:r w:rsidRPr="006727B9">
        <w:rPr>
          <w:rFonts w:ascii="Garamond" w:hAnsi="Garamond" w:cs="Times New Roman"/>
          <w:sz w:val="24"/>
          <w:szCs w:val="24"/>
        </w:rPr>
        <w:instrText xml:space="preserve"> REF _Ref118297166 \r \h  \* MERGEFORMAT </w:instrText>
      </w:r>
      <w:r w:rsidRPr="006727B9">
        <w:rPr>
          <w:rFonts w:ascii="Garamond" w:hAnsi="Garamond" w:cs="Times New Roman"/>
          <w:sz w:val="24"/>
          <w:szCs w:val="24"/>
        </w:rPr>
      </w:r>
      <w:r w:rsidRPr="006727B9">
        <w:rPr>
          <w:rFonts w:ascii="Garamond" w:hAnsi="Garamond" w:cs="Times New Roman"/>
          <w:sz w:val="24"/>
          <w:szCs w:val="24"/>
        </w:rPr>
        <w:fldChar w:fldCharType="separate"/>
      </w:r>
      <w:r w:rsidRPr="006727B9">
        <w:rPr>
          <w:rFonts w:ascii="Garamond" w:hAnsi="Garamond" w:cs="Times New Roman"/>
          <w:sz w:val="24"/>
          <w:szCs w:val="24"/>
        </w:rPr>
        <w:t>10.10</w:t>
      </w:r>
      <w:r w:rsidRPr="006727B9">
        <w:rPr>
          <w:rFonts w:ascii="Garamond" w:hAnsi="Garamond" w:cs="Times New Roman"/>
          <w:sz w:val="24"/>
          <w:szCs w:val="24"/>
        </w:rPr>
        <w:fldChar w:fldCharType="end"/>
      </w:r>
      <w:r w:rsidRPr="006727B9">
        <w:rPr>
          <w:rFonts w:ascii="Garamond" w:hAnsi="Garamond" w:cs="Times New Roman"/>
          <w:sz w:val="24"/>
          <w:szCs w:val="24"/>
        </w:rPr>
        <w:t xml:space="preserve">, observada a legislação que rege a matéria. </w:t>
      </w:r>
    </w:p>
    <w:p w14:paraId="4AF416BF"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11196EB0"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lastRenderedPageBreak/>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23" w:anchor="art.827" w:tooltip="https://www.planalto.gov.br/ccivil_03/leis/2002/l10406compilada.htm#art.827" w:history="1">
        <w:r w:rsidR="00381F54" w:rsidRPr="006727B9">
          <w:rPr>
            <w:rStyle w:val="Hyperlink"/>
            <w:rFonts w:ascii="Garamond" w:hAnsi="Garamond" w:cs="Times New Roman"/>
            <w:sz w:val="24"/>
            <w:szCs w:val="24"/>
          </w:rPr>
          <w:t>artigo 827 do Código Civil</w:t>
        </w:r>
      </w:hyperlink>
      <w:r w:rsidRPr="006727B9">
        <w:rPr>
          <w:rFonts w:ascii="Garamond" w:hAnsi="Garamond" w:cs="Times New Roman"/>
          <w:sz w:val="24"/>
          <w:szCs w:val="24"/>
        </w:rPr>
        <w:t>.</w:t>
      </w:r>
    </w:p>
    <w:p w14:paraId="17B80C7D"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No caso de alteração do valor do contrato, ou prorrogação de sua vigência, a garantia deverá ser ajustada ou renovada, seguindo os mesmos parâmetros utilizados quando da contratação. </w:t>
      </w:r>
    </w:p>
    <w:p w14:paraId="0AC3D3E2"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Se o valor da garantia for utilizado total ou parcialmente em pagamento de qualquer obrigação, o Contratado obriga-se a fazer a respectiva reposição no prazo máximo de .......... (......) dias úteis, contados da data em que for notificada.</w:t>
      </w:r>
    </w:p>
    <w:p w14:paraId="15A4289F"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O Contratante executará a garantia na forma prevista na legislação que rege a matéria.</w:t>
      </w:r>
    </w:p>
    <w:p w14:paraId="55B712FC"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O emitente da garantia ofertada pelo contratado deverá ser notificado pelo contratante quanto ao início de processo administrativo para apuração de descumprimento de cláusulas contratuais (</w:t>
      </w:r>
      <w:hyperlink r:id="rId24" w:anchor="art137§4" w:tooltip="http://www.planalto.gov.br/ccivil_03/_ato2019-2022/2021/lei/L14133.htm#art137§4" w:history="1">
        <w:r w:rsidR="00381F54" w:rsidRPr="006727B9">
          <w:rPr>
            <w:rStyle w:val="Hyperlink"/>
            <w:rFonts w:ascii="Garamond" w:hAnsi="Garamond" w:cs="Times New Roman"/>
            <w:sz w:val="24"/>
            <w:szCs w:val="24"/>
          </w:rPr>
          <w:t>art. 137, § 4º, da Lei n.º 14.133, de 2021</w:t>
        </w:r>
      </w:hyperlink>
      <w:r w:rsidRPr="006727B9">
        <w:rPr>
          <w:rFonts w:ascii="Garamond" w:hAnsi="Garamond" w:cs="Times New Roman"/>
          <w:sz w:val="24"/>
          <w:szCs w:val="24"/>
        </w:rPr>
        <w:t>).</w:t>
      </w:r>
    </w:p>
    <w:p w14:paraId="6B60225D"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25" w:anchor="art20" w:tooltip="https://www.in.gov.br/en/web/dou/-/circular-susep-n-662-de-11-de-abril-de-2022-392772088#art20" w:history="1">
        <w:r w:rsidR="00381F54" w:rsidRPr="006727B9">
          <w:rPr>
            <w:rStyle w:val="Hyperlink"/>
            <w:rFonts w:ascii="Garamond" w:hAnsi="Garamond" w:cs="Times New Roman"/>
            <w:sz w:val="24"/>
            <w:szCs w:val="24"/>
          </w:rPr>
          <w:t>art. 20 da Circular Susep n° 662, de 11 de abril de 2022</w:t>
        </w:r>
      </w:hyperlink>
      <w:r w:rsidRPr="006727B9">
        <w:rPr>
          <w:rFonts w:ascii="Garamond" w:hAnsi="Garamond" w:cs="Times New Roman"/>
          <w:sz w:val="24"/>
          <w:szCs w:val="24"/>
        </w:rPr>
        <w:t>.</w:t>
      </w:r>
    </w:p>
    <w:p w14:paraId="62133B4D"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16D6DA02"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highlight w:val="yellow"/>
        </w:rPr>
        <w:t>A garantia</w:t>
      </w:r>
      <w:r w:rsidRPr="006727B9">
        <w:rPr>
          <w:rFonts w:ascii="Garamond" w:hAnsi="Garamond" w:cs="Times New Roman"/>
          <w:sz w:val="24"/>
          <w:szCs w:val="24"/>
        </w:rPr>
        <w:t xml:space="preserve"> somente será liberada ou restituída após a fiel execução do contrato ou após a sua extinção por culpa exclusiva da Administração e, quando em dinheiro, será atualizada monetariamente.</w:t>
      </w:r>
    </w:p>
    <w:p w14:paraId="4B763AD2"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O garantidor não é parte para figurar em processo administrativo instaurado pelo contratante com o objetivo de apurar prejuízos e/ou aplicar sanções à contratada. </w:t>
      </w:r>
    </w:p>
    <w:p w14:paraId="11BB57B1"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O contratado autoriza o contratante a reter, a qualquer tempo, a garantia, na forma prevista neste Contrato.</w:t>
      </w:r>
    </w:p>
    <w:p w14:paraId="5B1FED20"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Além da garantia de que tratam os </w:t>
      </w:r>
      <w:hyperlink r:id="rId26" w:anchor="art96" w:tooltip="http://www.planalto.gov.br/ccivil_03/_ato2019-2022/2021/lei/L14133.htm#art96" w:history="1">
        <w:proofErr w:type="spellStart"/>
        <w:r w:rsidR="00381F54" w:rsidRPr="006727B9">
          <w:rPr>
            <w:rStyle w:val="Hyperlink"/>
            <w:rFonts w:ascii="Garamond" w:hAnsi="Garamond" w:cs="Times New Roman"/>
            <w:sz w:val="24"/>
            <w:szCs w:val="24"/>
          </w:rPr>
          <w:t>arts</w:t>
        </w:r>
        <w:proofErr w:type="spellEnd"/>
        <w:r w:rsidR="00381F54" w:rsidRPr="006727B9">
          <w:rPr>
            <w:rStyle w:val="Hyperlink"/>
            <w:rFonts w:ascii="Garamond" w:hAnsi="Garamond" w:cs="Times New Roman"/>
            <w:sz w:val="24"/>
            <w:szCs w:val="24"/>
          </w:rPr>
          <w:t>. 96 e seguintes da Lei nº 14.133/21</w:t>
        </w:r>
      </w:hyperlink>
      <w:r w:rsidRPr="006727B9">
        <w:rPr>
          <w:rFonts w:ascii="Garamond" w:hAnsi="Garamond" w:cs="Times New Roman"/>
          <w:sz w:val="24"/>
          <w:szCs w:val="24"/>
        </w:rPr>
        <w:t>, a presente contratação possui previsão de garantia contratual do bem a ser fornecido, incluindo manutenção e assistência técnica, conforme condições estabelecidas no Termo de Referência.</w:t>
      </w:r>
    </w:p>
    <w:p w14:paraId="72D8DDEE"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A garantia de execução é independente de eventual garantia do produto prevista especificamente no Termo de Referência.</w:t>
      </w:r>
    </w:p>
    <w:p w14:paraId="04C6F697" w14:textId="77777777" w:rsidR="00381F54" w:rsidRPr="006727B9" w:rsidRDefault="00381F54">
      <w:pPr>
        <w:pStyle w:val="Nivel2"/>
        <w:numPr>
          <w:ilvl w:val="0"/>
          <w:numId w:val="0"/>
        </w:numPr>
        <w:rPr>
          <w:rFonts w:ascii="Garamond" w:hAnsi="Garamond"/>
        </w:rPr>
      </w:pPr>
    </w:p>
    <w:p w14:paraId="5FEEAD89" w14:textId="31986C23" w:rsidR="00381F54" w:rsidRPr="006727B9" w:rsidRDefault="00000000">
      <w:pPr>
        <w:pStyle w:val="Nivel01"/>
        <w:rPr>
          <w:rFonts w:ascii="Garamond" w:hAnsi="Garamond" w:cs="Times New Roman"/>
          <w:sz w:val="24"/>
          <w:szCs w:val="24"/>
        </w:rPr>
      </w:pPr>
      <w:r w:rsidRPr="006727B9">
        <w:rPr>
          <w:rFonts w:ascii="Garamond" w:hAnsi="Garamond" w:cs="Times New Roman"/>
          <w:sz w:val="24"/>
          <w:szCs w:val="24"/>
        </w:rPr>
        <w:t>CLÁUSULA DÉCIMA – OBRIGAÇÕES PERTINENTES À LGPD</w:t>
      </w:r>
    </w:p>
    <w:p w14:paraId="628440D3" w14:textId="77777777" w:rsidR="00381F54" w:rsidRPr="006727B9" w:rsidRDefault="00381F54">
      <w:pPr>
        <w:rPr>
          <w:rFonts w:ascii="Garamond" w:hAnsi="Garamond"/>
          <w:lang w:eastAsia="pt-BR"/>
        </w:rPr>
      </w:pPr>
    </w:p>
    <w:p w14:paraId="06B7D99D" w14:textId="77777777" w:rsidR="00381F54" w:rsidRPr="006727B9" w:rsidRDefault="00000000" w:rsidP="00FA0A68">
      <w:pPr>
        <w:pBdr>
          <w:top w:val="single" w:sz="4" w:space="1" w:color="000000"/>
          <w:left w:val="single" w:sz="4" w:space="4" w:color="000000"/>
          <w:bottom w:val="single" w:sz="4" w:space="1" w:color="000000"/>
          <w:right w:val="single" w:sz="4" w:space="4" w:color="000000"/>
        </w:pBdr>
        <w:spacing w:line="360" w:lineRule="auto"/>
        <w:jc w:val="both"/>
        <w:rPr>
          <w:rFonts w:ascii="Garamond" w:hAnsi="Garamond"/>
          <w:sz w:val="24"/>
          <w:szCs w:val="24"/>
          <w:lang w:eastAsia="pt-BR"/>
        </w:rPr>
      </w:pPr>
      <w:r w:rsidRPr="006727B9">
        <w:rPr>
          <w:rFonts w:ascii="Garamond" w:hAnsi="Garamond"/>
          <w:b/>
          <w:bCs/>
          <w:sz w:val="24"/>
          <w:szCs w:val="24"/>
          <w:lang w:eastAsia="pt-BR"/>
        </w:rPr>
        <w:t>NOTA EXPLICATIVA:</w:t>
      </w:r>
    </w:p>
    <w:p w14:paraId="56241248" w14:textId="1C47F089" w:rsidR="00381F54" w:rsidRPr="006727B9" w:rsidRDefault="00000000" w:rsidP="00FA0A68">
      <w:pPr>
        <w:pBdr>
          <w:top w:val="single" w:sz="4" w:space="1" w:color="000000"/>
          <w:left w:val="single" w:sz="4" w:space="4" w:color="000000"/>
          <w:bottom w:val="single" w:sz="4" w:space="1" w:color="000000"/>
          <w:right w:val="single" w:sz="4" w:space="4" w:color="000000"/>
        </w:pBdr>
        <w:spacing w:line="360" w:lineRule="auto"/>
        <w:jc w:val="both"/>
        <w:rPr>
          <w:rFonts w:ascii="Garamond" w:hAnsi="Garamond"/>
          <w:b/>
          <w:bCs/>
          <w:sz w:val="24"/>
          <w:szCs w:val="24"/>
          <w:lang w:eastAsia="pt-BR"/>
        </w:rPr>
      </w:pPr>
      <w:r w:rsidRPr="006727B9">
        <w:rPr>
          <w:rFonts w:ascii="Garamond" w:hAnsi="Garamond"/>
          <w:b/>
          <w:bCs/>
          <w:sz w:val="24"/>
          <w:szCs w:val="24"/>
          <w:lang w:eastAsia="pt-BR"/>
        </w:rPr>
        <w:lastRenderedPageBreak/>
        <w:t>As cláusulas 1</w:t>
      </w:r>
      <w:r w:rsidR="00FA0A68" w:rsidRPr="006727B9">
        <w:rPr>
          <w:rFonts w:ascii="Garamond" w:hAnsi="Garamond"/>
          <w:b/>
          <w:bCs/>
          <w:sz w:val="24"/>
          <w:szCs w:val="24"/>
          <w:lang w:eastAsia="pt-BR"/>
        </w:rPr>
        <w:t>1</w:t>
      </w:r>
      <w:r w:rsidRPr="006727B9">
        <w:rPr>
          <w:rFonts w:ascii="Garamond" w:hAnsi="Garamond"/>
          <w:b/>
          <w:bCs/>
          <w:sz w:val="24"/>
          <w:szCs w:val="24"/>
          <w:lang w:eastAsia="pt-BR"/>
        </w:rPr>
        <w:t>.1 a 1</w:t>
      </w:r>
      <w:r w:rsidR="00FA0A68" w:rsidRPr="006727B9">
        <w:rPr>
          <w:rFonts w:ascii="Garamond" w:hAnsi="Garamond"/>
          <w:b/>
          <w:bCs/>
          <w:sz w:val="24"/>
          <w:szCs w:val="24"/>
          <w:lang w:eastAsia="pt-BR"/>
        </w:rPr>
        <w:t>1</w:t>
      </w:r>
      <w:r w:rsidRPr="006727B9">
        <w:rPr>
          <w:rFonts w:ascii="Garamond" w:hAnsi="Garamond"/>
          <w:b/>
          <w:bCs/>
          <w:sz w:val="24"/>
          <w:szCs w:val="24"/>
          <w:lang w:eastAsia="pt-BR"/>
        </w:rPr>
        <w:t xml:space="preserve">.12 são necessárias para cumprimento </w:t>
      </w:r>
      <w:hyperlink r:id="rId27" w:tooltip="https://www.planalto.gov.br/ccivil_03/_ato2015-2018/2018/lei/l13709.htm" w:history="1">
        <w:r w:rsidR="00381F54" w:rsidRPr="006727B9">
          <w:rPr>
            <w:rStyle w:val="Hyperlink"/>
            <w:rFonts w:ascii="Garamond" w:hAnsi="Garamond"/>
            <w:b/>
            <w:bCs/>
            <w:sz w:val="24"/>
            <w:szCs w:val="24"/>
            <w:lang w:eastAsia="pt-BR"/>
          </w:rPr>
          <w:t>da Lei nº 13.709, de 14 de agosto de 2018 (LGPD</w:t>
        </w:r>
      </w:hyperlink>
      <w:r w:rsidRPr="006727B9">
        <w:rPr>
          <w:rFonts w:ascii="Garamond" w:hAnsi="Garamond"/>
          <w:b/>
          <w:bCs/>
          <w:sz w:val="24"/>
          <w:szCs w:val="24"/>
          <w:lang w:eastAsia="pt-BR"/>
        </w:rPr>
        <w:t>), caso a contratação envolva, de qualquer forma, o tratamento de dados pessoais, devendo ser incluída e ajustada nessa hipótese.</w:t>
      </w:r>
    </w:p>
    <w:p w14:paraId="40DE417A" w14:textId="77777777" w:rsidR="00381F54" w:rsidRPr="006727B9" w:rsidRDefault="00381F54" w:rsidP="00FA0A68">
      <w:pPr>
        <w:pBdr>
          <w:top w:val="single" w:sz="4" w:space="1" w:color="000000"/>
          <w:left w:val="single" w:sz="4" w:space="4" w:color="000000"/>
          <w:bottom w:val="single" w:sz="4" w:space="1" w:color="000000"/>
          <w:right w:val="single" w:sz="4" w:space="4" w:color="000000"/>
        </w:pBdr>
        <w:spacing w:line="360" w:lineRule="auto"/>
        <w:jc w:val="both"/>
        <w:rPr>
          <w:rFonts w:ascii="Garamond" w:hAnsi="Garamond"/>
          <w:b/>
          <w:bCs/>
          <w:sz w:val="24"/>
          <w:szCs w:val="24"/>
          <w:lang w:eastAsia="pt-BR"/>
        </w:rPr>
      </w:pPr>
    </w:p>
    <w:p w14:paraId="2982BFAF" w14:textId="77777777" w:rsidR="00381F54" w:rsidRPr="006727B9" w:rsidRDefault="00000000" w:rsidP="00FA0A68">
      <w:pPr>
        <w:pBdr>
          <w:top w:val="single" w:sz="4" w:space="1" w:color="000000"/>
          <w:left w:val="single" w:sz="4" w:space="4" w:color="000000"/>
          <w:bottom w:val="single" w:sz="4" w:space="1" w:color="000000"/>
          <w:right w:val="single" w:sz="4" w:space="4" w:color="000000"/>
        </w:pBdr>
        <w:spacing w:line="360" w:lineRule="auto"/>
        <w:jc w:val="both"/>
        <w:rPr>
          <w:rFonts w:ascii="Garamond" w:hAnsi="Garamond"/>
          <w:b/>
          <w:bCs/>
          <w:sz w:val="24"/>
          <w:szCs w:val="24"/>
          <w:lang w:eastAsia="pt-BR"/>
        </w:rPr>
      </w:pPr>
      <w:r w:rsidRPr="006727B9">
        <w:rPr>
          <w:rFonts w:ascii="Garamond" w:hAnsi="Garamond"/>
          <w:b/>
          <w:bCs/>
          <w:sz w:val="24"/>
          <w:szCs w:val="24"/>
          <w:lang w:eastAsia="pt-BR"/>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80078AA" w14:textId="77777777" w:rsidR="00381F54" w:rsidRPr="006727B9" w:rsidRDefault="00000000" w:rsidP="00FA0A68">
      <w:pPr>
        <w:pBdr>
          <w:top w:val="single" w:sz="4" w:space="1" w:color="000000"/>
          <w:left w:val="single" w:sz="4" w:space="4" w:color="000000"/>
          <w:bottom w:val="single" w:sz="4" w:space="1" w:color="000000"/>
          <w:right w:val="single" w:sz="4" w:space="4" w:color="000000"/>
        </w:pBdr>
        <w:spacing w:line="360" w:lineRule="auto"/>
        <w:jc w:val="both"/>
        <w:rPr>
          <w:rFonts w:ascii="Garamond" w:hAnsi="Garamond"/>
          <w:b/>
          <w:bCs/>
          <w:sz w:val="24"/>
          <w:szCs w:val="24"/>
          <w:lang w:eastAsia="pt-BR"/>
        </w:rPr>
      </w:pPr>
      <w:r w:rsidRPr="006727B9">
        <w:rPr>
          <w:rFonts w:ascii="Garamond" w:hAnsi="Garamond"/>
          <w:b/>
          <w:bCs/>
          <w:sz w:val="24"/>
          <w:szCs w:val="24"/>
          <w:lang w:eastAsia="pt-BR"/>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6521CE4C" w14:textId="77777777" w:rsidR="00381F54" w:rsidRPr="006727B9" w:rsidRDefault="00000000" w:rsidP="00FA0A68">
      <w:pPr>
        <w:pBdr>
          <w:top w:val="single" w:sz="4" w:space="1" w:color="000000"/>
          <w:left w:val="single" w:sz="4" w:space="4" w:color="000000"/>
          <w:bottom w:val="single" w:sz="4" w:space="1" w:color="000000"/>
          <w:right w:val="single" w:sz="4" w:space="4" w:color="000000"/>
        </w:pBdr>
        <w:spacing w:line="360" w:lineRule="auto"/>
        <w:jc w:val="both"/>
        <w:rPr>
          <w:rFonts w:ascii="Garamond" w:hAnsi="Garamond"/>
          <w:b/>
          <w:bCs/>
          <w:sz w:val="24"/>
          <w:szCs w:val="24"/>
          <w:lang w:eastAsia="pt-BR"/>
        </w:rPr>
      </w:pPr>
      <w:r w:rsidRPr="006727B9">
        <w:rPr>
          <w:rFonts w:ascii="Garamond" w:hAnsi="Garamond"/>
          <w:b/>
          <w:bCs/>
          <w:sz w:val="24"/>
          <w:szCs w:val="24"/>
          <w:lang w:eastAsia="pt-BR"/>
        </w:rPr>
        <w:t>O tema deve ser avaliado pela Administração com base nos riscos da contratação em relação aos dados pessoais eventualmente envolvidos.</w:t>
      </w:r>
    </w:p>
    <w:p w14:paraId="5CF430D2" w14:textId="77777777" w:rsidR="00381F54" w:rsidRPr="006727B9" w:rsidRDefault="00381F54">
      <w:pPr>
        <w:rPr>
          <w:rFonts w:ascii="Garamond" w:hAnsi="Garamond"/>
          <w:lang w:eastAsia="pt-BR"/>
        </w:rPr>
      </w:pPr>
    </w:p>
    <w:p w14:paraId="1F01C1C1"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As partes deverão cumprir a </w:t>
      </w:r>
      <w:hyperlink r:id="rId28" w:tooltip="https://www.planalto.gov.br/ccivil_03/_ato2015-2018/2018/lei/l13709.htm" w:history="1">
        <w:r w:rsidR="00381F54" w:rsidRPr="006727B9">
          <w:rPr>
            <w:rStyle w:val="Hyperlink"/>
            <w:rFonts w:ascii="Garamond" w:hAnsi="Garamond" w:cs="Times New Roman"/>
            <w:sz w:val="24"/>
            <w:szCs w:val="24"/>
          </w:rPr>
          <w:t>Lei nº 13.709, de 14 de agosto de 2018 (LGPD)</w:t>
        </w:r>
      </w:hyperlink>
      <w:r w:rsidRPr="006727B9">
        <w:rPr>
          <w:rFonts w:ascii="Garamond" w:hAnsi="Garamond" w:cs="Times New Roman"/>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172DE4F"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Os dados obtidos somente poderão ser utilizados para as finalidades que justificaram seu acesso e de acordo com a boa-fé e com os princípios do </w:t>
      </w:r>
      <w:hyperlink r:id="rId29" w:anchor="art6" w:tooltip="https://www.planalto.gov.br/ccivil_03/_ato2015-2018/2018/lei/l13709.htm#art6" w:history="1">
        <w:r w:rsidR="00381F54" w:rsidRPr="006727B9">
          <w:rPr>
            <w:rStyle w:val="Hyperlink"/>
            <w:rFonts w:ascii="Garamond" w:hAnsi="Garamond" w:cs="Times New Roman"/>
            <w:sz w:val="24"/>
            <w:szCs w:val="24"/>
          </w:rPr>
          <w:t>art. 6º da LGPD</w:t>
        </w:r>
      </w:hyperlink>
      <w:r w:rsidRPr="006727B9">
        <w:rPr>
          <w:rFonts w:ascii="Garamond" w:hAnsi="Garamond" w:cs="Times New Roman"/>
          <w:sz w:val="24"/>
          <w:szCs w:val="24"/>
        </w:rPr>
        <w:t xml:space="preserve">. </w:t>
      </w:r>
    </w:p>
    <w:p w14:paraId="4EC74455"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É vedado o compartilhamento com terceiros dos dados obtidos fora das hipóteses permitidas em Lei.</w:t>
      </w:r>
    </w:p>
    <w:p w14:paraId="4D953D3B"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A Administração deverá ser informada no prazo de 5 (cinco) dias úteis sobre todos os contratos de </w:t>
      </w:r>
      <w:proofErr w:type="spellStart"/>
      <w:r w:rsidRPr="006727B9">
        <w:rPr>
          <w:rFonts w:ascii="Garamond" w:hAnsi="Garamond" w:cs="Times New Roman"/>
          <w:sz w:val="24"/>
          <w:szCs w:val="24"/>
        </w:rPr>
        <w:t>suboperação</w:t>
      </w:r>
      <w:proofErr w:type="spellEnd"/>
      <w:r w:rsidRPr="006727B9">
        <w:rPr>
          <w:rFonts w:ascii="Garamond" w:hAnsi="Garamond" w:cs="Times New Roman"/>
          <w:sz w:val="24"/>
          <w:szCs w:val="24"/>
        </w:rPr>
        <w:t xml:space="preserve"> firmados ou que venham a ser celebrados pelo Contratado. </w:t>
      </w:r>
    </w:p>
    <w:p w14:paraId="715ADDCB"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Terminado o tratamento dos dados nos termos do </w:t>
      </w:r>
      <w:hyperlink r:id="rId30" w:anchor="art15" w:tooltip="https://www.planalto.gov.br/ccivil_03/_ato2015-2018/2018/lei/l13709.htm#art15" w:history="1">
        <w:r w:rsidR="00381F54" w:rsidRPr="006727B9">
          <w:rPr>
            <w:rStyle w:val="Hyperlink"/>
            <w:rFonts w:ascii="Garamond" w:hAnsi="Garamond" w:cs="Times New Roman"/>
            <w:sz w:val="24"/>
            <w:szCs w:val="24"/>
          </w:rPr>
          <w:t>art. 15 da LGPD</w:t>
        </w:r>
      </w:hyperlink>
      <w:r w:rsidRPr="006727B9">
        <w:rPr>
          <w:rFonts w:ascii="Garamond" w:hAnsi="Garamond" w:cs="Times New Roman"/>
          <w:sz w:val="24"/>
          <w:szCs w:val="24"/>
        </w:rPr>
        <w:t xml:space="preserve">, é dever do contratado eliminá-los, com exceção das hipóteses do </w:t>
      </w:r>
      <w:hyperlink r:id="rId31" w:anchor="art16" w:tooltip="https://www.planalto.gov.br/ccivil_03/_ato2015-2018/2018/lei/l13709.htm#art16" w:history="1">
        <w:r w:rsidR="00381F54" w:rsidRPr="006727B9">
          <w:rPr>
            <w:rStyle w:val="Hyperlink"/>
            <w:rFonts w:ascii="Garamond" w:hAnsi="Garamond" w:cs="Times New Roman"/>
            <w:sz w:val="24"/>
            <w:szCs w:val="24"/>
          </w:rPr>
          <w:t>art. 16 da LGPD</w:t>
        </w:r>
      </w:hyperlink>
      <w:r w:rsidRPr="006727B9">
        <w:rPr>
          <w:rFonts w:ascii="Garamond" w:hAnsi="Garamond" w:cs="Times New Roman"/>
          <w:sz w:val="24"/>
          <w:szCs w:val="24"/>
        </w:rPr>
        <w:t xml:space="preserve">, incluindo aquelas em que houver necessidade de guarda de documentação para fins de comprovação do cumprimento de obrigações legais ou contratuais e somente enquanto não prescritas essas obrigações. </w:t>
      </w:r>
    </w:p>
    <w:p w14:paraId="45FB9B06"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lastRenderedPageBreak/>
        <w:t>É dever do contratado orientar e treinar seus empregados sobre os deveres, requisitos e responsabilidades decorrentes da LGPD.</w:t>
      </w:r>
    </w:p>
    <w:p w14:paraId="60770CC5" w14:textId="77777777" w:rsidR="00381F54" w:rsidRPr="006727B9" w:rsidRDefault="00000000">
      <w:pPr>
        <w:pBdr>
          <w:top w:val="single" w:sz="4" w:space="1" w:color="000000"/>
          <w:left w:val="single" w:sz="4" w:space="4" w:color="000000"/>
          <w:bottom w:val="single" w:sz="4" w:space="1" w:color="000000"/>
          <w:right w:val="single" w:sz="4" w:space="4" w:color="000000"/>
        </w:pBdr>
        <w:jc w:val="both"/>
        <w:rPr>
          <w:rFonts w:ascii="Garamond" w:hAnsi="Garamond"/>
          <w:b/>
          <w:bCs/>
          <w:sz w:val="24"/>
          <w:szCs w:val="24"/>
          <w:lang w:eastAsia="pt-BR"/>
        </w:rPr>
      </w:pPr>
      <w:r w:rsidRPr="006727B9">
        <w:rPr>
          <w:rFonts w:ascii="Garamond" w:hAnsi="Garamond"/>
          <w:b/>
          <w:bCs/>
          <w:sz w:val="24"/>
          <w:szCs w:val="24"/>
          <w:lang w:eastAsia="pt-BR"/>
        </w:rPr>
        <w:t>NOTA EXPLICATIVA:</w:t>
      </w:r>
    </w:p>
    <w:p w14:paraId="5231C85E" w14:textId="77777777" w:rsidR="00381F54" w:rsidRPr="006727B9" w:rsidRDefault="00000000">
      <w:pPr>
        <w:pBdr>
          <w:top w:val="single" w:sz="4" w:space="1" w:color="000000"/>
          <w:left w:val="single" w:sz="4" w:space="4" w:color="000000"/>
          <w:bottom w:val="single" w:sz="4" w:space="1" w:color="000000"/>
          <w:right w:val="single" w:sz="4" w:space="4" w:color="000000"/>
        </w:pBdr>
        <w:jc w:val="both"/>
        <w:rPr>
          <w:rFonts w:ascii="Garamond" w:hAnsi="Garamond"/>
          <w:b/>
          <w:bCs/>
          <w:sz w:val="24"/>
          <w:szCs w:val="24"/>
          <w:lang w:eastAsia="pt-BR"/>
        </w:rPr>
      </w:pPr>
      <w:r w:rsidRPr="006727B9">
        <w:rPr>
          <w:rFonts w:ascii="Garamond" w:hAnsi="Garamond"/>
          <w:b/>
          <w:bCs/>
          <w:sz w:val="24"/>
          <w:szCs w:val="24"/>
          <w:lang w:eastAsia="pt-BR"/>
        </w:rPr>
        <w:t xml:space="preserve">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14:paraId="5AE0A014" w14:textId="77777777" w:rsidR="00381F54" w:rsidRPr="006727B9" w:rsidRDefault="00381F54">
      <w:pPr>
        <w:rPr>
          <w:rFonts w:ascii="Garamond" w:hAnsi="Garamond"/>
          <w:sz w:val="24"/>
          <w:szCs w:val="24"/>
          <w:lang w:eastAsia="pt-BR"/>
        </w:rPr>
      </w:pPr>
    </w:p>
    <w:p w14:paraId="766A089D"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O Contratado deverá exigir de </w:t>
      </w:r>
      <w:proofErr w:type="spellStart"/>
      <w:r w:rsidRPr="006727B9">
        <w:rPr>
          <w:rFonts w:ascii="Garamond" w:hAnsi="Garamond" w:cs="Times New Roman"/>
          <w:sz w:val="24"/>
          <w:szCs w:val="24"/>
        </w:rPr>
        <w:t>suboperadores</w:t>
      </w:r>
      <w:proofErr w:type="spellEnd"/>
      <w:r w:rsidRPr="006727B9">
        <w:rPr>
          <w:rFonts w:ascii="Garamond" w:hAnsi="Garamond" w:cs="Times New Roman"/>
          <w:sz w:val="24"/>
          <w:szCs w:val="24"/>
        </w:rPr>
        <w:t xml:space="preserve"> e subcontratados o cumprimento dos deveres da presente cláusula, permanecendo integralmente responsável por garantir sua observância.</w:t>
      </w:r>
    </w:p>
    <w:p w14:paraId="5CD957B5"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O Contratante poderá realizar diligência para aferir o cumprimento dessa cláusula, devendo o Contratado atender prontamente eventuais pedidos de comprovação formulados.</w:t>
      </w:r>
    </w:p>
    <w:p w14:paraId="1906B185" w14:textId="77777777" w:rsidR="00381F54" w:rsidRPr="006727B9" w:rsidRDefault="00000000">
      <w:pPr>
        <w:pBdr>
          <w:top w:val="single" w:sz="4" w:space="1" w:color="000000"/>
          <w:left w:val="single" w:sz="4" w:space="4" w:color="000000"/>
          <w:bottom w:val="single" w:sz="4" w:space="1" w:color="000000"/>
          <w:right w:val="single" w:sz="4" w:space="4" w:color="000000"/>
        </w:pBdr>
        <w:rPr>
          <w:rFonts w:ascii="Garamond" w:hAnsi="Garamond"/>
          <w:b/>
          <w:bCs/>
          <w:sz w:val="24"/>
          <w:szCs w:val="24"/>
          <w:lang w:eastAsia="pt-BR"/>
        </w:rPr>
      </w:pPr>
      <w:r w:rsidRPr="006727B9">
        <w:rPr>
          <w:rFonts w:ascii="Garamond" w:hAnsi="Garamond"/>
          <w:b/>
          <w:bCs/>
          <w:sz w:val="24"/>
          <w:szCs w:val="24"/>
          <w:lang w:eastAsia="pt-BR"/>
        </w:rPr>
        <w:t>NOTA EXPLICATIVA:</w:t>
      </w:r>
    </w:p>
    <w:p w14:paraId="30D4EAF9" w14:textId="77777777" w:rsidR="00381F54" w:rsidRPr="006727B9" w:rsidRDefault="00000000">
      <w:pPr>
        <w:pBdr>
          <w:top w:val="single" w:sz="4" w:space="1" w:color="000000"/>
          <w:left w:val="single" w:sz="4" w:space="4" w:color="000000"/>
          <w:bottom w:val="single" w:sz="4" w:space="1" w:color="000000"/>
          <w:right w:val="single" w:sz="4" w:space="4" w:color="000000"/>
        </w:pBdr>
        <w:rPr>
          <w:rFonts w:ascii="Garamond" w:hAnsi="Garamond"/>
          <w:sz w:val="24"/>
          <w:szCs w:val="24"/>
          <w:lang w:eastAsia="pt-BR"/>
        </w:rPr>
      </w:pPr>
      <w:r w:rsidRPr="006727B9">
        <w:rPr>
          <w:rFonts w:ascii="Garamond" w:hAnsi="Garamond"/>
          <w:sz w:val="24"/>
          <w:szCs w:val="24"/>
          <w:lang w:eastAsia="pt-BR"/>
        </w:rPr>
        <w:t>Se o Contratante entender oportuno, é possível especificar, nesta cláusula, rotinas ou diligências mais adequadas ao objeto contratual respectivo.</w:t>
      </w:r>
    </w:p>
    <w:p w14:paraId="73471A03" w14:textId="77777777" w:rsidR="00381F54" w:rsidRPr="006727B9" w:rsidRDefault="00381F54">
      <w:pPr>
        <w:rPr>
          <w:rFonts w:ascii="Garamond" w:hAnsi="Garamond"/>
          <w:sz w:val="24"/>
          <w:szCs w:val="24"/>
          <w:lang w:eastAsia="pt-BR"/>
        </w:rPr>
      </w:pPr>
    </w:p>
    <w:p w14:paraId="09BDD0D7"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5201835F"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2" w:tooltip="https://www.planalto.gov.br/ccivil_03/_ato2015-2018/2018/lei/l13709.htm" w:history="1">
        <w:r w:rsidR="00381F54" w:rsidRPr="006727B9">
          <w:rPr>
            <w:rStyle w:val="Hyperlink"/>
            <w:rFonts w:ascii="Garamond" w:hAnsi="Garamond" w:cs="Times New Roman"/>
            <w:sz w:val="24"/>
            <w:szCs w:val="24"/>
          </w:rPr>
          <w:t>LGPD, art. 37</w:t>
        </w:r>
      </w:hyperlink>
      <w:r w:rsidRPr="006727B9">
        <w:rPr>
          <w:rFonts w:ascii="Garamond" w:hAnsi="Garamond" w:cs="Times New Roman"/>
          <w:sz w:val="24"/>
          <w:szCs w:val="24"/>
        </w:rPr>
        <w:t>), com cada acesso, data, horário e registro da finalidade, para efeito de responsabilização, em caso de eventuais omissões, desvios ou abusos.</w:t>
      </w:r>
    </w:p>
    <w:p w14:paraId="1F19C75A"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Os referidos bancos de dados devem ser desenvolvidos em formato interoperável, a fim de garantir a reutilização desses dados pela Administração nas hipóteses previstas na LGPD.</w:t>
      </w:r>
    </w:p>
    <w:p w14:paraId="3B019A7E"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790A299"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Os contratos e convênios de que trata o </w:t>
      </w:r>
      <w:hyperlink r:id="rId33" w:anchor="art26§1" w:tooltip="https://www.planalto.gov.br/ccivil_03/_ato2015-2018/2018/lei/l13709.htm#art26§1" w:history="1">
        <w:r w:rsidR="00381F54" w:rsidRPr="006727B9">
          <w:rPr>
            <w:rStyle w:val="Hyperlink"/>
            <w:rFonts w:ascii="Garamond" w:hAnsi="Garamond" w:cs="Times New Roman"/>
            <w:sz w:val="24"/>
            <w:szCs w:val="24"/>
          </w:rPr>
          <w:t>§ 1º do art. 26 da LGPD</w:t>
        </w:r>
      </w:hyperlink>
      <w:r w:rsidRPr="006727B9">
        <w:rPr>
          <w:rFonts w:ascii="Garamond" w:hAnsi="Garamond" w:cs="Times New Roman"/>
          <w:sz w:val="24"/>
          <w:szCs w:val="24"/>
        </w:rPr>
        <w:t xml:space="preserve"> deverão ser comunicados à autoridade nacional.</w:t>
      </w:r>
    </w:p>
    <w:p w14:paraId="12BAA4B9" w14:textId="77777777" w:rsidR="00381F54" w:rsidRPr="006727B9" w:rsidRDefault="00381F54">
      <w:pPr>
        <w:pStyle w:val="Nivel2"/>
        <w:numPr>
          <w:ilvl w:val="0"/>
          <w:numId w:val="0"/>
        </w:numPr>
        <w:rPr>
          <w:rFonts w:ascii="Garamond" w:hAnsi="Garamond"/>
        </w:rPr>
      </w:pPr>
    </w:p>
    <w:p w14:paraId="1D4DF838" w14:textId="77777777" w:rsidR="00381F54" w:rsidRPr="006727B9" w:rsidRDefault="00000000">
      <w:pPr>
        <w:pStyle w:val="Nivel2"/>
        <w:numPr>
          <w:ilvl w:val="0"/>
          <w:numId w:val="0"/>
        </w:numPr>
        <w:pBdr>
          <w:top w:val="single" w:sz="4" w:space="1" w:color="000000"/>
          <w:left w:val="single" w:sz="4" w:space="4" w:color="000000"/>
          <w:bottom w:val="single" w:sz="4" w:space="1" w:color="000000"/>
          <w:right w:val="single" w:sz="4" w:space="4" w:color="000000"/>
        </w:pBdr>
        <w:rPr>
          <w:rFonts w:ascii="Garamond" w:hAnsi="Garamond" w:cs="Times New Roman"/>
          <w:b/>
          <w:bCs/>
          <w:sz w:val="24"/>
          <w:szCs w:val="24"/>
        </w:rPr>
      </w:pPr>
      <w:r w:rsidRPr="006727B9">
        <w:rPr>
          <w:rFonts w:ascii="Garamond" w:hAnsi="Garamond" w:cs="Times New Roman"/>
          <w:b/>
          <w:bCs/>
          <w:sz w:val="24"/>
          <w:szCs w:val="24"/>
        </w:rPr>
        <w:t>NOTA EXPLICATIVA:</w:t>
      </w:r>
    </w:p>
    <w:p w14:paraId="533839DC" w14:textId="77777777" w:rsidR="00381F54" w:rsidRPr="006727B9" w:rsidRDefault="00000000">
      <w:pPr>
        <w:pStyle w:val="Nivel2"/>
        <w:numPr>
          <w:ilvl w:val="0"/>
          <w:numId w:val="0"/>
        </w:numPr>
        <w:pBdr>
          <w:top w:val="single" w:sz="4" w:space="1" w:color="000000"/>
          <w:left w:val="single" w:sz="4" w:space="4" w:color="000000"/>
          <w:bottom w:val="single" w:sz="4" w:space="1" w:color="000000"/>
          <w:right w:val="single" w:sz="4" w:space="4" w:color="000000"/>
        </w:pBdr>
        <w:rPr>
          <w:rFonts w:ascii="Garamond" w:hAnsi="Garamond" w:cs="Times New Roman"/>
          <w:sz w:val="24"/>
          <w:szCs w:val="24"/>
        </w:rPr>
      </w:pPr>
      <w:r w:rsidRPr="006727B9">
        <w:rPr>
          <w:rFonts w:ascii="Garamond" w:hAnsi="Garamond" w:cs="Times New Roman"/>
          <w:sz w:val="24"/>
          <w:szCs w:val="24"/>
        </w:rPr>
        <w:t xml:space="preserve">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2F108BA2" w14:textId="77777777" w:rsidR="00381F54" w:rsidRPr="006727B9" w:rsidRDefault="00000000">
      <w:pPr>
        <w:pStyle w:val="Nivel2"/>
        <w:numPr>
          <w:ilvl w:val="0"/>
          <w:numId w:val="0"/>
        </w:numPr>
        <w:pBdr>
          <w:top w:val="single" w:sz="4" w:space="1" w:color="000000"/>
          <w:left w:val="single" w:sz="4" w:space="4" w:color="000000"/>
          <w:bottom w:val="single" w:sz="4" w:space="1" w:color="000000"/>
          <w:right w:val="single" w:sz="4" w:space="4" w:color="000000"/>
        </w:pBdr>
        <w:rPr>
          <w:rFonts w:ascii="Garamond" w:hAnsi="Garamond" w:cs="Times New Roman"/>
          <w:sz w:val="24"/>
          <w:szCs w:val="24"/>
        </w:rPr>
      </w:pPr>
      <w:r w:rsidRPr="006727B9">
        <w:rPr>
          <w:rFonts w:ascii="Garamond" w:hAnsi="Garamond" w:cs="Times New Roman"/>
          <w:sz w:val="24"/>
          <w:szCs w:val="24"/>
        </w:rPr>
        <w:lastRenderedPageBreak/>
        <w:t>Todas as disposições da presente cláusula são meramente indicativas. Pode ser necessário que se suprimam algumas das obrigações ou se arrolem outras, conforme as peculiaridades do órgão e as especificações do serviço a ser executado.</w:t>
      </w:r>
    </w:p>
    <w:p w14:paraId="28C9901B" w14:textId="77777777" w:rsidR="00381F54" w:rsidRPr="006727B9" w:rsidRDefault="00000000">
      <w:pPr>
        <w:pStyle w:val="Nivel01"/>
        <w:rPr>
          <w:rFonts w:ascii="Garamond" w:hAnsi="Garamond" w:cs="Times New Roman"/>
          <w:sz w:val="24"/>
          <w:szCs w:val="24"/>
        </w:rPr>
      </w:pPr>
      <w:r w:rsidRPr="006727B9">
        <w:rPr>
          <w:rFonts w:ascii="Garamond" w:hAnsi="Garamond" w:cs="Times New Roman"/>
          <w:sz w:val="24"/>
          <w:szCs w:val="24"/>
        </w:rPr>
        <w:t>CLÁUSULA DÉCIMA SEGUNDA – INFRAÇÕES E SANÇÕES ADMINISTRATIVAS (</w:t>
      </w:r>
      <w:hyperlink r:id="rId34" w:anchor="art92" w:tooltip="http://www.planalto.gov.br/ccivil_03/_ato2019-2022/2021/lei/L14133.htm#art92" w:history="1">
        <w:r w:rsidR="00381F54" w:rsidRPr="006727B9">
          <w:rPr>
            <w:rStyle w:val="Hyperlink"/>
            <w:rFonts w:ascii="Garamond" w:hAnsi="Garamond" w:cs="Times New Roman"/>
            <w:color w:val="auto"/>
            <w:sz w:val="24"/>
            <w:szCs w:val="24"/>
          </w:rPr>
          <w:t>art. 92, XIV</w:t>
        </w:r>
      </w:hyperlink>
      <w:r w:rsidRPr="006727B9">
        <w:rPr>
          <w:rFonts w:ascii="Garamond" w:hAnsi="Garamond" w:cs="Times New Roman"/>
          <w:sz w:val="24"/>
          <w:szCs w:val="24"/>
        </w:rPr>
        <w:t>)</w:t>
      </w:r>
    </w:p>
    <w:p w14:paraId="57AA35DF"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 Constitui infração administrativa, a prática, pelo </w:t>
      </w:r>
      <w:r w:rsidRPr="006727B9">
        <w:rPr>
          <w:rFonts w:ascii="Garamond" w:eastAsiaTheme="minorEastAsia" w:hAnsi="Garamond"/>
          <w:b/>
          <w:bCs/>
          <w:color w:val="000000"/>
          <w:sz w:val="24"/>
          <w:szCs w:val="24"/>
          <w:lang w:eastAsia="pt-BR"/>
        </w:rPr>
        <w:t>FORNECEDOR, LICITANTE ou CONTRATADO</w:t>
      </w:r>
      <w:r w:rsidRPr="006727B9">
        <w:rPr>
          <w:rFonts w:ascii="Garamond" w:eastAsiaTheme="minorEastAsia" w:hAnsi="Garamond"/>
          <w:color w:val="000000"/>
          <w:sz w:val="24"/>
          <w:szCs w:val="24"/>
          <w:lang w:eastAsia="pt-BR"/>
        </w:rPr>
        <w:t>, das seguintes condutas previstas no art. 155 da Lei nº 14.133/2021:</w:t>
      </w:r>
    </w:p>
    <w:p w14:paraId="37E19297"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11.1.1 dar causa à inexecução parcial do contrato;</w:t>
      </w:r>
    </w:p>
    <w:p w14:paraId="63C177E1"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11.1.2 dar causa à inexecução parcial do contrato que cause grave dano à Administração, ao funcionamento dos serviços públicos ou ao interesse coletivo;</w:t>
      </w:r>
    </w:p>
    <w:p w14:paraId="1020E874"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11.1.3 dar causa à inexecução total do contrato;</w:t>
      </w:r>
    </w:p>
    <w:p w14:paraId="59826B54"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11.1.4 deixar de entregar a documentação exigida para o certame ou não entregar qualquer documento que tenha sido solicitado pelo pregoeiro durante o certame; </w:t>
      </w:r>
    </w:p>
    <w:p w14:paraId="7B5C5066"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11.1.5 não manter a proposta, salvo em decorrência de fato superveniente devidamente justificado, em especial quando:</w:t>
      </w:r>
    </w:p>
    <w:p w14:paraId="1F8565EC"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11.1.5.1 não enviar a proposta adequada ao último lance ofertado ou após a negociação; </w:t>
      </w:r>
    </w:p>
    <w:p w14:paraId="5BA3D4CA"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11.1.5.2 recusar-se a enviar o detalhamento da proposta quando exigível; </w:t>
      </w:r>
    </w:p>
    <w:p w14:paraId="37274338"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11.1.5.3 pedir para ser desclassificado quando encerrada a etapa competitiva; ou </w:t>
      </w:r>
    </w:p>
    <w:p w14:paraId="784A7C27"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11.1.5.4 deixar de apresentar amostra;</w:t>
      </w:r>
    </w:p>
    <w:p w14:paraId="5C89E8F1"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11.1.5.5 apresentar proposta ou amostra em desacordo com as especificações do instrumento convocatório; </w:t>
      </w:r>
    </w:p>
    <w:p w14:paraId="31BA3A4C"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11.1.6 não celebrar o contrato ou não entregar a documentação exigida para a contratação, quando convocado dentro do prazo de validade de sua proposta;</w:t>
      </w:r>
    </w:p>
    <w:p w14:paraId="505B39CB"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11.1.6.1 recusar-se, sem justificativa, a assinar o contrato ou a ata de registro de preço, ou a aceitar ou retirar o instrumento equivalente no prazo estabelecido pela Administração;</w:t>
      </w:r>
    </w:p>
    <w:p w14:paraId="56C505D3"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11.1.7 ensejar o retardamento da execução ou da entrega do objeto da contratação sem motivo justificado;</w:t>
      </w:r>
    </w:p>
    <w:p w14:paraId="5F7D4AC3"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11.1.8 apresentar declaração ou documentação falsa exigida para o certame ou prestar declaração falsa durante o certame ou a execução do contrato;</w:t>
      </w:r>
    </w:p>
    <w:p w14:paraId="64AA163F" w14:textId="77777777" w:rsidR="00381F54" w:rsidRPr="006727B9" w:rsidRDefault="00381F54">
      <w:pPr>
        <w:spacing w:before="120" w:after="120" w:line="276" w:lineRule="auto"/>
        <w:ind w:left="284"/>
        <w:jc w:val="both"/>
        <w:rPr>
          <w:rFonts w:ascii="Garamond" w:eastAsiaTheme="minorEastAsia" w:hAnsi="Garamond"/>
          <w:color w:val="000000"/>
          <w:sz w:val="24"/>
          <w:szCs w:val="24"/>
          <w:lang w:eastAsia="pt-BR"/>
        </w:rPr>
      </w:pPr>
    </w:p>
    <w:p w14:paraId="6C244EF1"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11.1.9 fraudar o certame ou praticar ato fraudulento na execução do contrato;</w:t>
      </w:r>
    </w:p>
    <w:p w14:paraId="47F56E82"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11.1.10 comportar-se de modo inidôneo ou cometer fraude de qualquer natureza, em especial quando:</w:t>
      </w:r>
    </w:p>
    <w:p w14:paraId="2D9D4DEA"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lastRenderedPageBreak/>
        <w:t xml:space="preserve">11.1.10.1 agir em conluio ou em desconformidade com a lei; </w:t>
      </w:r>
    </w:p>
    <w:p w14:paraId="06C2D7F0"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11.1.10.2 induzir deliberadamente a erro no julgamento; </w:t>
      </w:r>
    </w:p>
    <w:p w14:paraId="7BE2C210"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11.1.10.3 apresentar amostra falsificada ou deteriorada; </w:t>
      </w:r>
    </w:p>
    <w:p w14:paraId="453BE2A3"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 xml:space="preserve">11.1.10.4 apresentar declaração falsa quanto às condições de participação ou quanto ao enquadramento como ME/EPP; </w:t>
      </w:r>
    </w:p>
    <w:p w14:paraId="257266C0"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11.1.11 praticar atos ilícitos com vistas a frustrar os objetivos do certame;</w:t>
      </w:r>
    </w:p>
    <w:p w14:paraId="30DC9DEE" w14:textId="77777777" w:rsidR="00381F54" w:rsidRPr="006727B9" w:rsidRDefault="00000000">
      <w:pPr>
        <w:spacing w:before="120" w:after="120" w:line="276" w:lineRule="auto"/>
        <w:ind w:left="284"/>
        <w:jc w:val="both"/>
        <w:rPr>
          <w:rFonts w:ascii="Garamond" w:eastAsiaTheme="minorEastAsia" w:hAnsi="Garamond"/>
          <w:color w:val="000000"/>
          <w:sz w:val="24"/>
          <w:szCs w:val="24"/>
          <w:lang w:eastAsia="pt-BR"/>
        </w:rPr>
      </w:pPr>
      <w:r w:rsidRPr="006727B9">
        <w:rPr>
          <w:rFonts w:ascii="Garamond" w:eastAsiaTheme="minorEastAsia" w:hAnsi="Garamond"/>
          <w:color w:val="000000"/>
          <w:sz w:val="24"/>
          <w:szCs w:val="24"/>
          <w:lang w:eastAsia="pt-BR"/>
        </w:rPr>
        <w:t>11.1.12 praticar ato lesivo previsto no art. 5º da Lei nº 12.846, de 1º de agosto de 2013.</w:t>
      </w:r>
    </w:p>
    <w:p w14:paraId="1AA3868F" w14:textId="77777777" w:rsidR="00381F54" w:rsidRPr="006727B9" w:rsidRDefault="00000000">
      <w:pPr>
        <w:spacing w:before="120" w:after="120" w:line="276" w:lineRule="auto"/>
        <w:ind w:left="284"/>
        <w:jc w:val="both"/>
        <w:rPr>
          <w:rFonts w:ascii="Garamond" w:hAnsi="Garamond"/>
          <w:sz w:val="24"/>
          <w:szCs w:val="24"/>
        </w:rPr>
      </w:pPr>
      <w:r w:rsidRPr="006727B9">
        <w:rPr>
          <w:rFonts w:ascii="Garamond" w:hAnsi="Garamond"/>
          <w:sz w:val="24"/>
          <w:szCs w:val="24"/>
        </w:rPr>
        <w:t xml:space="preserve">11.2 Serão aplicadas ao </w:t>
      </w:r>
      <w:r w:rsidRPr="006727B9">
        <w:rPr>
          <w:rFonts w:ascii="Garamond" w:hAnsi="Garamond"/>
          <w:b/>
          <w:bCs/>
          <w:sz w:val="24"/>
          <w:szCs w:val="24"/>
        </w:rPr>
        <w:t>FORNECEDOR, LICITANTE ou CONTRATADO</w:t>
      </w:r>
      <w:r w:rsidRPr="006727B9">
        <w:rPr>
          <w:rFonts w:ascii="Garamond" w:hAnsi="Garamond"/>
          <w:sz w:val="24"/>
          <w:szCs w:val="24"/>
        </w:rPr>
        <w:t xml:space="preserve"> que incorrer nas infrações acima descritas as seguintes sanções:</w:t>
      </w:r>
    </w:p>
    <w:p w14:paraId="0E6DE04A" w14:textId="77777777" w:rsidR="00381F54" w:rsidRPr="006727B9" w:rsidRDefault="00000000">
      <w:pPr>
        <w:pStyle w:val="PargrafodaLista"/>
        <w:numPr>
          <w:ilvl w:val="0"/>
          <w:numId w:val="6"/>
        </w:numPr>
        <w:spacing w:line="276" w:lineRule="auto"/>
        <w:ind w:left="284" w:firstLine="0"/>
        <w:contextualSpacing/>
        <w:rPr>
          <w:rFonts w:ascii="Garamond" w:eastAsia="Arial" w:hAnsi="Garamond" w:cs="Times New Roman"/>
          <w:sz w:val="24"/>
          <w:szCs w:val="24"/>
        </w:rPr>
      </w:pPr>
      <w:r w:rsidRPr="006727B9">
        <w:rPr>
          <w:rFonts w:ascii="Garamond" w:eastAsia="Arial" w:hAnsi="Garamond" w:cs="Times New Roman"/>
          <w:b/>
          <w:bCs/>
          <w:sz w:val="24"/>
          <w:szCs w:val="24"/>
        </w:rPr>
        <w:t>Advertência</w:t>
      </w:r>
      <w:r w:rsidRPr="006727B9">
        <w:rPr>
          <w:rFonts w:ascii="Garamond" w:eastAsia="Arial" w:hAnsi="Garamond" w:cs="Times New Roman"/>
          <w:sz w:val="24"/>
          <w:szCs w:val="24"/>
        </w:rPr>
        <w:t>, prevista no art. 156, I, § 2º, da Lei nº 14.133/2021, pela infração descrita no item 11.1.1, de menor potencial ofensivo, quando não se justificar a imposição de penalidade mais grave.</w:t>
      </w:r>
    </w:p>
    <w:p w14:paraId="28421D2C" w14:textId="77777777" w:rsidR="00381F54" w:rsidRPr="006727B9" w:rsidRDefault="00000000">
      <w:pPr>
        <w:spacing w:line="288" w:lineRule="auto"/>
        <w:contextualSpacing/>
        <w:jc w:val="both"/>
        <w:rPr>
          <w:rFonts w:ascii="Garamond" w:hAnsi="Garamond"/>
          <w:sz w:val="24"/>
          <w:szCs w:val="24"/>
        </w:rPr>
      </w:pPr>
      <w:r w:rsidRPr="006727B9">
        <w:rPr>
          <w:rFonts w:ascii="Garamond" w:hAnsi="Garamond"/>
          <w:sz w:val="24"/>
          <w:szCs w:val="24"/>
        </w:rPr>
        <w:t xml:space="preserve">11.2.2 </w:t>
      </w:r>
      <w:r w:rsidRPr="006727B9">
        <w:rPr>
          <w:rFonts w:ascii="Garamond" w:hAnsi="Garamond"/>
          <w:b/>
          <w:bCs/>
          <w:sz w:val="24"/>
          <w:szCs w:val="24"/>
        </w:rPr>
        <w:t>Multa administrativa</w:t>
      </w:r>
      <w:r w:rsidRPr="006727B9">
        <w:rPr>
          <w:rFonts w:ascii="Garamond" w:hAnsi="Garamond"/>
          <w:sz w:val="24"/>
          <w:szCs w:val="24"/>
        </w:rPr>
        <w:t xml:space="preserve">, prevista no art. 156, II, § 3º, da Lei nº 14.133/2021, pela infração dos subitens 11.1.1 a 11.1.12, que não </w:t>
      </w:r>
      <w:r w:rsidRPr="006727B9">
        <w:rPr>
          <w:rFonts w:ascii="Garamond" w:hAnsi="Garamond"/>
          <w:color w:val="000000"/>
          <w:sz w:val="24"/>
          <w:szCs w:val="24"/>
        </w:rPr>
        <w:t>poderá ser inferior a 0,5% (cinco décimos por cento) nem superior a 30% (trinta por cento) do valor do Contrato</w:t>
      </w:r>
      <w:r w:rsidRPr="006727B9">
        <w:rPr>
          <w:rFonts w:ascii="Garamond" w:hAnsi="Garamond"/>
          <w:sz w:val="24"/>
          <w:szCs w:val="24"/>
        </w:rPr>
        <w:t>, devendo ser observados os seguintes parâmetros:</w:t>
      </w:r>
    </w:p>
    <w:p w14:paraId="0B65F3DC" w14:textId="77777777" w:rsidR="00381F54" w:rsidRPr="006727B9" w:rsidRDefault="00381F54">
      <w:pPr>
        <w:spacing w:line="288" w:lineRule="auto"/>
        <w:contextualSpacing/>
        <w:jc w:val="both"/>
        <w:rPr>
          <w:rFonts w:ascii="Garamond" w:hAnsi="Garamond"/>
          <w:sz w:val="24"/>
          <w:szCs w:val="24"/>
        </w:rPr>
      </w:pPr>
    </w:p>
    <w:p w14:paraId="6148EE5A" w14:textId="77777777" w:rsidR="00381F54" w:rsidRPr="006727B9" w:rsidRDefault="00000000">
      <w:pPr>
        <w:spacing w:line="288" w:lineRule="auto"/>
        <w:contextualSpacing/>
        <w:jc w:val="both"/>
        <w:rPr>
          <w:rFonts w:ascii="Garamond" w:hAnsi="Garamond"/>
          <w:sz w:val="24"/>
          <w:szCs w:val="24"/>
        </w:rPr>
      </w:pPr>
      <w:r w:rsidRPr="006727B9">
        <w:rPr>
          <w:rFonts w:ascii="Garamond" w:hAnsi="Garamond"/>
          <w:sz w:val="24"/>
          <w:szCs w:val="24"/>
        </w:rPr>
        <w:t xml:space="preserve">a) multa de 0,5% a 1,5%, nos casos da infração prevista no subitem 11.1.1, incidente sobre o </w:t>
      </w:r>
      <w:r w:rsidRPr="006727B9">
        <w:rPr>
          <w:rFonts w:ascii="Garamond" w:hAnsi="Garamond"/>
          <w:i/>
          <w:iCs/>
          <w:color w:val="FF0000"/>
          <w:sz w:val="24"/>
          <w:szCs w:val="24"/>
        </w:rPr>
        <w:t>valor anual do Contrato</w:t>
      </w:r>
      <w:r w:rsidRPr="006727B9">
        <w:rPr>
          <w:rFonts w:ascii="Garamond" w:hAnsi="Garamond"/>
          <w:sz w:val="24"/>
          <w:szCs w:val="24"/>
        </w:rPr>
        <w:t xml:space="preserve">; </w:t>
      </w:r>
    </w:p>
    <w:p w14:paraId="45ECCBB6" w14:textId="77777777" w:rsidR="00381F54" w:rsidRPr="006727B9" w:rsidRDefault="00000000">
      <w:pPr>
        <w:spacing w:line="288" w:lineRule="auto"/>
        <w:contextualSpacing/>
        <w:jc w:val="both"/>
        <w:rPr>
          <w:rFonts w:ascii="Garamond" w:hAnsi="Garamond"/>
          <w:sz w:val="24"/>
          <w:szCs w:val="24"/>
        </w:rPr>
      </w:pPr>
      <w:r w:rsidRPr="006727B9">
        <w:rPr>
          <w:rFonts w:ascii="Garamond" w:hAnsi="Garamond"/>
          <w:sz w:val="24"/>
          <w:szCs w:val="24"/>
        </w:rPr>
        <w:t xml:space="preserve">b) multa de 0,5% a 15%, nos casos das infrações previstas nos subitens 11.1.2 a 11.1.7, incidente sobre o </w:t>
      </w:r>
      <w:r w:rsidRPr="006727B9">
        <w:rPr>
          <w:rFonts w:ascii="Garamond" w:hAnsi="Garamond"/>
          <w:i/>
          <w:iCs/>
          <w:color w:val="FF0000"/>
          <w:sz w:val="24"/>
          <w:szCs w:val="24"/>
        </w:rPr>
        <w:t>valor anual do Contrato</w:t>
      </w:r>
      <w:r w:rsidRPr="006727B9">
        <w:rPr>
          <w:rFonts w:ascii="Garamond" w:hAnsi="Garamond"/>
          <w:sz w:val="24"/>
          <w:szCs w:val="24"/>
        </w:rPr>
        <w:t>;</w:t>
      </w:r>
    </w:p>
    <w:p w14:paraId="284FD6DE" w14:textId="77777777" w:rsidR="00381F54" w:rsidRPr="006727B9" w:rsidRDefault="00000000">
      <w:pPr>
        <w:spacing w:line="288" w:lineRule="auto"/>
        <w:contextualSpacing/>
        <w:jc w:val="both"/>
        <w:rPr>
          <w:rFonts w:ascii="Garamond" w:hAnsi="Garamond"/>
          <w:sz w:val="24"/>
          <w:szCs w:val="24"/>
        </w:rPr>
      </w:pPr>
      <w:r w:rsidRPr="006727B9">
        <w:rPr>
          <w:rFonts w:ascii="Garamond" w:hAnsi="Garamond"/>
          <w:sz w:val="24"/>
          <w:szCs w:val="24"/>
        </w:rPr>
        <w:t xml:space="preserve">c) multa de 5% a 30%, nos casos das infrações previstas nos subitens 11.1.8 a 11.1.12, incidente sobre o </w:t>
      </w:r>
      <w:r w:rsidRPr="006727B9">
        <w:rPr>
          <w:rFonts w:ascii="Garamond" w:hAnsi="Garamond"/>
          <w:i/>
          <w:iCs/>
          <w:color w:val="FF0000"/>
          <w:sz w:val="24"/>
          <w:szCs w:val="24"/>
        </w:rPr>
        <w:t>valor anual do Contrato</w:t>
      </w:r>
      <w:r w:rsidRPr="006727B9">
        <w:rPr>
          <w:rFonts w:ascii="Garamond" w:hAnsi="Garamond"/>
          <w:sz w:val="24"/>
          <w:szCs w:val="24"/>
        </w:rPr>
        <w:t>;</w:t>
      </w:r>
    </w:p>
    <w:p w14:paraId="19F2BCA5" w14:textId="77777777" w:rsidR="00381F54" w:rsidRPr="006727B9" w:rsidRDefault="00381F54">
      <w:pPr>
        <w:spacing w:line="288" w:lineRule="auto"/>
        <w:contextualSpacing/>
        <w:jc w:val="both"/>
        <w:rPr>
          <w:rFonts w:ascii="Garamond" w:hAnsi="Garamond"/>
          <w:sz w:val="24"/>
          <w:szCs w:val="24"/>
        </w:rPr>
      </w:pPr>
    </w:p>
    <w:p w14:paraId="103BD00C" w14:textId="77777777" w:rsidR="00381F54" w:rsidRPr="006727B9" w:rsidRDefault="00000000">
      <w:pPr>
        <w:spacing w:line="288" w:lineRule="auto"/>
        <w:contextualSpacing/>
        <w:jc w:val="both"/>
        <w:rPr>
          <w:rFonts w:ascii="Garamond" w:hAnsi="Garamond"/>
          <w:sz w:val="24"/>
          <w:szCs w:val="24"/>
        </w:rPr>
      </w:pPr>
      <w:r w:rsidRPr="006727B9">
        <w:rPr>
          <w:rFonts w:ascii="Garamond" w:hAnsi="Garamond"/>
          <w:sz w:val="24"/>
          <w:szCs w:val="24"/>
        </w:rPr>
        <w:t>11.2.2.1 Na hipótese de a infração ser cometida antes da celebração do contrato, a base de cálculo da multa do item 11.2.2 será o valor anual estimado da contratação.</w:t>
      </w:r>
    </w:p>
    <w:p w14:paraId="61A9287C" w14:textId="77777777" w:rsidR="00381F54" w:rsidRPr="006727B9" w:rsidRDefault="00000000">
      <w:pPr>
        <w:spacing w:line="276" w:lineRule="auto"/>
        <w:ind w:left="851"/>
        <w:contextualSpacing/>
        <w:rPr>
          <w:rFonts w:ascii="Garamond" w:eastAsia="Arial" w:hAnsi="Garamond"/>
          <w:sz w:val="24"/>
          <w:szCs w:val="24"/>
        </w:rPr>
      </w:pPr>
      <w:r w:rsidRPr="006727B9">
        <w:rPr>
          <w:rFonts w:ascii="Garamond" w:eastAsia="Arial" w:hAnsi="Garamond"/>
          <w:i/>
          <w:iCs/>
          <w:color w:val="FF0000"/>
          <w:sz w:val="24"/>
          <w:szCs w:val="24"/>
        </w:rPr>
        <w:t xml:space="preserve"> </w:t>
      </w:r>
    </w:p>
    <w:tbl>
      <w:tblPr>
        <w:tblStyle w:val="Tabelacomgrade"/>
        <w:tblW w:w="0" w:type="auto"/>
        <w:tblInd w:w="360" w:type="dxa"/>
        <w:tblLook w:val="04A0" w:firstRow="1" w:lastRow="0" w:firstColumn="1" w:lastColumn="0" w:noHBand="0" w:noVBand="1"/>
      </w:tblPr>
      <w:tblGrid>
        <w:gridCol w:w="1134"/>
        <w:gridCol w:w="7566"/>
      </w:tblGrid>
      <w:tr w:rsidR="00381F54" w:rsidRPr="006727B9" w14:paraId="0B6B0FEE" w14:textId="77777777">
        <w:trPr>
          <w:trHeight w:val="385"/>
        </w:trPr>
        <w:tc>
          <w:tcPr>
            <w:tcW w:w="9832" w:type="dxa"/>
            <w:gridSpan w:val="2"/>
          </w:tcPr>
          <w:p w14:paraId="31830BDE"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lastRenderedPageBreak/>
              <w:t xml:space="preserve">Notas explicativas </w:t>
            </w:r>
          </w:p>
        </w:tc>
      </w:tr>
      <w:tr w:rsidR="00381F54" w:rsidRPr="006727B9" w14:paraId="39839D80" w14:textId="77777777">
        <w:tc>
          <w:tcPr>
            <w:tcW w:w="1195" w:type="dxa"/>
          </w:tcPr>
          <w:p w14:paraId="254ECD7E"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11.2.2</w:t>
            </w:r>
          </w:p>
        </w:tc>
        <w:tc>
          <w:tcPr>
            <w:tcW w:w="8637" w:type="dxa"/>
          </w:tcPr>
          <w:p w14:paraId="5B2E1ECF" w14:textId="77777777" w:rsidR="00381F54" w:rsidRPr="006727B9" w:rsidRDefault="00000000">
            <w:pPr>
              <w:pStyle w:val="pf0"/>
              <w:jc w:val="both"/>
              <w:rPr>
                <w:rFonts w:ascii="Garamond" w:hAnsi="Garamond"/>
                <w:b/>
                <w:bCs/>
              </w:rPr>
            </w:pPr>
            <w:r w:rsidRPr="006727B9">
              <w:rPr>
                <w:rStyle w:val="cf01"/>
                <w:rFonts w:ascii="Garamond" w:hAnsi="Garamond" w:cs="Times New Roman"/>
                <w:b/>
                <w:bCs/>
                <w:i w:val="0"/>
                <w:iCs w:val="0"/>
                <w:sz w:val="24"/>
                <w:szCs w:val="24"/>
              </w:rPr>
              <w:t xml:space="preserve">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1360C258" w14:textId="77777777" w:rsidR="00381F54" w:rsidRPr="006727B9" w:rsidRDefault="00000000">
            <w:pPr>
              <w:pStyle w:val="pf0"/>
              <w:jc w:val="both"/>
              <w:rPr>
                <w:rStyle w:val="cf01"/>
                <w:rFonts w:ascii="Garamond" w:eastAsiaTheme="minorEastAsia" w:hAnsi="Garamond" w:cs="Times New Roman"/>
                <w:b/>
                <w:bCs/>
                <w:i w:val="0"/>
                <w:iCs w:val="0"/>
                <w:sz w:val="24"/>
                <w:szCs w:val="24"/>
              </w:rPr>
            </w:pPr>
            <w:r w:rsidRPr="006727B9">
              <w:rPr>
                <w:rStyle w:val="cf01"/>
                <w:rFonts w:ascii="Garamond" w:eastAsiaTheme="minorEastAsia" w:hAnsi="Garamond" w:cs="Times New Roman"/>
                <w:b/>
                <w:bCs/>
                <w:i w:val="0"/>
                <w:iCs w:val="0"/>
                <w:sz w:val="24"/>
                <w:szCs w:val="24"/>
              </w:rPr>
              <w:t>Recomenda-se suprimir a sanção relativa à apresentação, reposição ou suplementação da garantia caso esta não seja exigida para a contratação.</w:t>
            </w:r>
          </w:p>
          <w:p w14:paraId="020C66F7" w14:textId="77777777" w:rsidR="00381F54" w:rsidRPr="006727B9" w:rsidRDefault="00000000">
            <w:pPr>
              <w:pStyle w:val="pf0"/>
              <w:jc w:val="both"/>
              <w:rPr>
                <w:rFonts w:ascii="Garamond" w:hAnsi="Garamond"/>
                <w:b/>
                <w:bCs/>
              </w:rPr>
            </w:pPr>
            <w:r w:rsidRPr="006727B9">
              <w:rPr>
                <w:rFonts w:ascii="Garamond" w:hAnsi="Garamond"/>
                <w:b/>
                <w:bCs/>
              </w:rPr>
              <w:t xml:space="preserve">A base de cálculo prevista nas alíneas a </w:t>
            </w:r>
            <w:proofErr w:type="spellStart"/>
            <w:r w:rsidRPr="006727B9">
              <w:rPr>
                <w:rFonts w:ascii="Garamond" w:hAnsi="Garamond"/>
                <w:b/>
                <w:bCs/>
              </w:rPr>
              <w:t>a</w:t>
            </w:r>
            <w:proofErr w:type="spellEnd"/>
            <w:r w:rsidRPr="006727B9">
              <w:rPr>
                <w:rFonts w:ascii="Garamond" w:hAnsi="Garamond"/>
                <w:b/>
                <w:bCs/>
              </w:rPr>
              <w:t xml:space="preserve"> c do item 11.2.2., pode ser alterada, de acordo com o caso concreto, estabelecendo como base de cálculo, ao invés do valor anual do Contrato, o valor da parcela não executada ou o valor total do contrato, como critério de dosimetria.</w:t>
            </w:r>
          </w:p>
          <w:p w14:paraId="30D6BFAA" w14:textId="77777777" w:rsidR="00381F54" w:rsidRPr="006727B9" w:rsidRDefault="00000000">
            <w:pPr>
              <w:pStyle w:val="pf0"/>
              <w:jc w:val="both"/>
              <w:rPr>
                <w:rFonts w:ascii="Garamond" w:hAnsi="Garamond"/>
                <w:b/>
                <w:bCs/>
              </w:rPr>
            </w:pPr>
            <w:r w:rsidRPr="006727B9">
              <w:rPr>
                <w:rFonts w:ascii="Garamond" w:hAnsi="Garamond"/>
                <w:b/>
                <w:bCs/>
              </w:rPr>
              <w:t>A multa administrativa não visa reparar os prejuízos causados à Administração, mas penalizar o contratado que descumprir as disposições do contrato, aí incluídas as hipóteses de emissão de nota de empenho.</w:t>
            </w:r>
          </w:p>
        </w:tc>
      </w:tr>
    </w:tbl>
    <w:p w14:paraId="093DFF96" w14:textId="77777777" w:rsidR="00381F54" w:rsidRPr="006727B9" w:rsidRDefault="00381F54">
      <w:pPr>
        <w:spacing w:before="120" w:after="120" w:line="276" w:lineRule="auto"/>
        <w:ind w:left="851"/>
        <w:jc w:val="both"/>
        <w:rPr>
          <w:rFonts w:ascii="Garamond" w:eastAsia="Arial" w:hAnsi="Garamond"/>
          <w:sz w:val="24"/>
          <w:szCs w:val="24"/>
        </w:rPr>
      </w:pPr>
    </w:p>
    <w:p w14:paraId="2A82C6EE"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11.2.2.2 Em caso de reincidência, o valor total das multas administrativas aplicadas não poderá exceder o limite de 30% (trinta por cento) sobre o valor total do Contrato.</w:t>
      </w:r>
    </w:p>
    <w:p w14:paraId="76165D18"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52FE4A3E"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11.2.2.3 Se a multa aplicada e as indenizações cabíveis forem superiores ao valor de pagamento eventualmente devido pela Administração ao FORNECEDOR, LICITANTE ou CONTRATADO, além da perda desse valor, a diferença será descontada da garantia prestada ou será cobrada judicialmente, na forma do art. 156, §8º, da Lei nº 14.133/2021, e conforme o procedimento previsto no item 11.13.</w:t>
      </w:r>
    </w:p>
    <w:p w14:paraId="0073155A"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5A06D597"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11.2.2.4 A penalidade de multa pode ser aplicada cumulativamente com as demais sanções, na forma do art. 156, §7º, da Lei nº 14.133/2021.</w:t>
      </w:r>
    </w:p>
    <w:p w14:paraId="533CEF07"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63AAB76F"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 xml:space="preserve">11.2.3 </w:t>
      </w:r>
      <w:r w:rsidRPr="006727B9">
        <w:rPr>
          <w:rFonts w:ascii="Garamond" w:eastAsia="Arial" w:hAnsi="Garamond"/>
          <w:b/>
          <w:bCs/>
          <w:sz w:val="24"/>
          <w:szCs w:val="24"/>
        </w:rPr>
        <w:t>Impedimento de licitar e contratar</w:t>
      </w:r>
      <w:r w:rsidRPr="006727B9">
        <w:rPr>
          <w:rFonts w:ascii="Garamond" w:eastAsia="Arial" w:hAnsi="Garamond"/>
          <w:sz w:val="24"/>
          <w:szCs w:val="24"/>
        </w:rPr>
        <w:t>, prevista no art. 156, III, §4º, da Lei nº 14.133/2021, nos casos relacionados os subitens 11.1.2 a 11.1.7, quando não se justificar a imposição de penalidade mais grave, e impedirá o responsável de licitar ou contratar no âmbito da Administração Pública direta e indireta do Estado, pelo prazo máximo de 3 (três) anos;</w:t>
      </w:r>
    </w:p>
    <w:p w14:paraId="274BF9A3"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28B4B3AA"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 xml:space="preserve">11.2.4 </w:t>
      </w:r>
      <w:r w:rsidRPr="006727B9">
        <w:rPr>
          <w:rFonts w:ascii="Garamond" w:eastAsia="Arial" w:hAnsi="Garamond"/>
          <w:b/>
          <w:bCs/>
          <w:sz w:val="24"/>
          <w:szCs w:val="24"/>
        </w:rPr>
        <w:t>Declaração de inidoneidade para licitar ou contratar</w:t>
      </w:r>
      <w:r w:rsidRPr="006727B9">
        <w:rPr>
          <w:rFonts w:ascii="Garamond" w:eastAsia="Arial" w:hAnsi="Garamond"/>
          <w:sz w:val="24"/>
          <w:szCs w:val="24"/>
        </w:rPr>
        <w:t xml:space="preserve">, prevista no art. 156, IV, §5º, da Lei nº 14.133/2021, nos casos relacionados nos subitens 11.1.8 a 11.1.12, bem como nos demais casos que justifiquem a imposição da penalidade mais grave, que impedirá o responsável de licitar ou contratar no âmbito da Administração Pública direta e </w:t>
      </w:r>
      <w:r w:rsidRPr="006727B9">
        <w:rPr>
          <w:rFonts w:ascii="Garamond" w:eastAsia="Arial" w:hAnsi="Garamond"/>
          <w:sz w:val="24"/>
          <w:szCs w:val="24"/>
        </w:rPr>
        <w:lastRenderedPageBreak/>
        <w:t>indireta de todos os entes federativos, pelo prazo mínimo de 3 (três) anos e máximo de 6 (seis) anos.</w:t>
      </w:r>
    </w:p>
    <w:p w14:paraId="375D453E"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1036361D" w14:textId="25C11718"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11.3 Sem prejuízo da multa administrativa prevista no art. 156, II, §3º, da Lei nº 14.133/2021, o atraso injustificado no cumprimento das obrigações contratuais sujeitará o FORNECEDOR, LICITANTE ou CONTRATADO, independente de notificação, na forma do art. 408 do Código Civil, à multa de mora no percentual de 1% (um por cento) por dia útil que exceder o prazo estipulado, a incidir sobre o valor da nota de empenho ou do saldo não atendido, respeitado o limite de 30% (trinta por cento) do valor do Contrato.</w:t>
      </w:r>
    </w:p>
    <w:p w14:paraId="0AC6C12B"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05ED3ECE"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11.3.1 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798F1071"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0076B451"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11.3.2 O atraso superior a 25 (vinte e cinco) dias no cumprimento da obrigação prevista no item 11.3.1 autoriza a Administração a promover a rescisão contratual por descumprimento ou cumprimento irregular de suas cláusulas.</w:t>
      </w:r>
    </w:p>
    <w:p w14:paraId="64F0453D"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709D2FBE"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11.3.3 A aplicação de multa de mora não impedirá que a Administração a converta em compensatória e promova a extinção unilateral do Contrato com a aplicação cumulada de outras sanções previstas neste Contrato.</w:t>
      </w:r>
    </w:p>
    <w:p w14:paraId="593D779F"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2622E24F" w14:textId="77777777" w:rsidR="00381F54" w:rsidRPr="006727B9" w:rsidRDefault="00000000">
      <w:pPr>
        <w:spacing w:before="120" w:after="120" w:line="276" w:lineRule="auto"/>
        <w:ind w:left="851"/>
        <w:contextualSpacing/>
        <w:jc w:val="both"/>
        <w:rPr>
          <w:rFonts w:ascii="Garamond" w:eastAsia="Arial" w:hAnsi="Garamond"/>
          <w:sz w:val="24"/>
          <w:szCs w:val="24"/>
        </w:rPr>
      </w:pPr>
      <w:r w:rsidRPr="006727B9">
        <w:rPr>
          <w:rFonts w:ascii="Garamond" w:eastAsia="Arial" w:hAnsi="Garamond"/>
          <w:sz w:val="24"/>
          <w:szCs w:val="24"/>
        </w:rPr>
        <w:t>11.4 No caso de inexecução total ou parcial do objeto, que acarrete a rescisão do Contrato, será automaticamente devida multa compensatória no valor de</w:t>
      </w:r>
      <w:r w:rsidRPr="006727B9">
        <w:rPr>
          <w:rFonts w:ascii="Garamond" w:eastAsia="Arial" w:hAnsi="Garamond"/>
          <w:color w:val="EE0000"/>
          <w:sz w:val="24"/>
          <w:szCs w:val="24"/>
        </w:rPr>
        <w:t xml:space="preserve"> </w:t>
      </w:r>
      <w:proofErr w:type="gramStart"/>
      <w:r w:rsidRPr="006727B9">
        <w:rPr>
          <w:rFonts w:ascii="Garamond" w:eastAsia="Arial" w:hAnsi="Garamond"/>
          <w:color w:val="EE0000"/>
          <w:sz w:val="24"/>
          <w:szCs w:val="24"/>
        </w:rPr>
        <w:t>....%</w:t>
      </w:r>
      <w:proofErr w:type="gramEnd"/>
      <w:r w:rsidRPr="006727B9">
        <w:rPr>
          <w:rFonts w:ascii="Garamond" w:eastAsia="Arial" w:hAnsi="Garamond"/>
          <w:color w:val="EE0000"/>
          <w:sz w:val="24"/>
          <w:szCs w:val="24"/>
        </w:rPr>
        <w:t xml:space="preserve"> </w:t>
      </w:r>
      <w:r w:rsidRPr="006727B9">
        <w:rPr>
          <w:rFonts w:ascii="Garamond" w:eastAsia="Arial" w:hAnsi="Garamond"/>
          <w:sz w:val="24"/>
          <w:szCs w:val="24"/>
        </w:rPr>
        <w:t>do valor do Contrato.</w:t>
      </w:r>
    </w:p>
    <w:p w14:paraId="2350B87C" w14:textId="77777777" w:rsidR="00381F54" w:rsidRPr="006727B9" w:rsidRDefault="00381F54">
      <w:pPr>
        <w:spacing w:before="120" w:after="120" w:line="276" w:lineRule="auto"/>
        <w:ind w:left="851"/>
        <w:contextualSpacing/>
        <w:jc w:val="both"/>
        <w:rPr>
          <w:rFonts w:ascii="Garamond" w:eastAsia="Arial" w:hAnsi="Garamond"/>
          <w:sz w:val="24"/>
          <w:szCs w:val="24"/>
        </w:rPr>
      </w:pPr>
    </w:p>
    <w:p w14:paraId="6AC220F8" w14:textId="77777777" w:rsidR="00381F54" w:rsidRPr="006727B9" w:rsidRDefault="00000000">
      <w:pPr>
        <w:pBdr>
          <w:top w:val="single" w:sz="4" w:space="1" w:color="000000"/>
          <w:left w:val="single" w:sz="4" w:space="4" w:color="000000"/>
          <w:bottom w:val="single" w:sz="4" w:space="1" w:color="000000"/>
          <w:right w:val="single" w:sz="4" w:space="4" w:color="000000"/>
        </w:pBdr>
        <w:spacing w:before="120" w:after="120" w:line="276" w:lineRule="auto"/>
        <w:ind w:left="851"/>
        <w:contextualSpacing/>
        <w:jc w:val="both"/>
        <w:rPr>
          <w:rFonts w:ascii="Garamond" w:eastAsia="Arial" w:hAnsi="Garamond"/>
          <w:sz w:val="24"/>
          <w:szCs w:val="24"/>
        </w:rPr>
      </w:pPr>
      <w:r w:rsidRPr="006727B9">
        <w:rPr>
          <w:rFonts w:ascii="Garamond" w:eastAsia="Arial" w:hAnsi="Garamond"/>
          <w:b/>
          <w:bCs/>
          <w:sz w:val="24"/>
          <w:szCs w:val="24"/>
        </w:rPr>
        <w:t>NOTA EXPLICATIVA: A multa compensatória é espécie de cláusula penal que visa pré-definir as perdas e danos em caso de inadimplemento absoluto e rescisão do Contrato, servindo como uma antecipação caso o valor indenizatório que vier a ser apurado for maior do que a multa compensatória estabelecida. Frisa-se que o seu valor-limite é aquele previsto no art. 412 do Código Civil, ou seja, o valor da obrigação principal. Portanto, deverá o administrador ponderar, no caso concreto, o percentual devido em caso de rescisão contratual que melhor se adéque à hipótese.</w:t>
      </w:r>
    </w:p>
    <w:p w14:paraId="3477C594" w14:textId="77777777" w:rsidR="00381F54" w:rsidRPr="006727B9" w:rsidRDefault="00381F54">
      <w:pPr>
        <w:rPr>
          <w:rFonts w:ascii="Garamond" w:eastAsia="Arial" w:hAnsi="Garamond"/>
          <w:sz w:val="24"/>
          <w:szCs w:val="24"/>
        </w:rPr>
      </w:pPr>
    </w:p>
    <w:p w14:paraId="71E37F6D"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Arial" w:hAnsi="Garamond"/>
          <w:sz w:val="24"/>
          <w:szCs w:val="24"/>
        </w:rPr>
        <w:tab/>
      </w:r>
      <w:r w:rsidRPr="006727B9">
        <w:rPr>
          <w:rFonts w:ascii="Garamond" w:eastAsia="Times New Roman" w:hAnsi="Garamond"/>
          <w:sz w:val="24"/>
          <w:szCs w:val="24"/>
          <w:lang w:eastAsia="pt-BR"/>
        </w:rPr>
        <w:t>11.4.1 A multa compensatória, isoladamente aplicada ou quando somada ao valor da multa moratória convertida, não poderá exceder o limite previsto no art. 412 do Código Civil, ou seja, o valor da obrigação principal.</w:t>
      </w:r>
    </w:p>
    <w:p w14:paraId="3F9C6F6F" w14:textId="77777777" w:rsidR="00381F54" w:rsidRPr="006727B9" w:rsidRDefault="00381F54">
      <w:pPr>
        <w:spacing w:line="288" w:lineRule="auto"/>
        <w:contextualSpacing/>
        <w:jc w:val="both"/>
        <w:rPr>
          <w:rFonts w:ascii="Garamond" w:eastAsia="Times New Roman" w:hAnsi="Garamond"/>
          <w:sz w:val="24"/>
          <w:szCs w:val="24"/>
          <w:lang w:eastAsia="pt-BR"/>
        </w:rPr>
      </w:pPr>
    </w:p>
    <w:p w14:paraId="6F6BD275"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lastRenderedPageBreak/>
        <w:t>11.5 Na aplicação das sanções serão considerados os seguintes requisitos, previstos no art. 156, §1º, incisos I a V, da Lei nº 14.133/2021:</w:t>
      </w:r>
    </w:p>
    <w:p w14:paraId="1675CA3E" w14:textId="77777777" w:rsidR="00381F54" w:rsidRPr="006727B9" w:rsidRDefault="00381F54">
      <w:pPr>
        <w:spacing w:line="288" w:lineRule="auto"/>
        <w:contextualSpacing/>
        <w:jc w:val="both"/>
        <w:rPr>
          <w:rFonts w:ascii="Garamond" w:eastAsia="Times New Roman" w:hAnsi="Garamond"/>
          <w:sz w:val="24"/>
          <w:szCs w:val="24"/>
          <w:lang w:eastAsia="pt-BR"/>
        </w:rPr>
      </w:pPr>
    </w:p>
    <w:p w14:paraId="3FDC6A31"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11.5.1 a natureza e a gravidade da infração cometida;</w:t>
      </w:r>
    </w:p>
    <w:p w14:paraId="05E2A016" w14:textId="77777777" w:rsidR="00381F54" w:rsidRPr="006727B9" w:rsidRDefault="00381F54">
      <w:pPr>
        <w:spacing w:line="288" w:lineRule="auto"/>
        <w:contextualSpacing/>
        <w:jc w:val="both"/>
        <w:rPr>
          <w:rFonts w:ascii="Garamond" w:eastAsia="Times New Roman" w:hAnsi="Garamond"/>
          <w:sz w:val="24"/>
          <w:szCs w:val="24"/>
          <w:lang w:eastAsia="pt-BR"/>
        </w:rPr>
      </w:pPr>
    </w:p>
    <w:p w14:paraId="62242E01"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11.5.2 as peculiaridades do caso concreto;</w:t>
      </w:r>
    </w:p>
    <w:p w14:paraId="2105B72E" w14:textId="77777777" w:rsidR="00381F54" w:rsidRPr="006727B9" w:rsidRDefault="00381F54">
      <w:pPr>
        <w:spacing w:line="288" w:lineRule="auto"/>
        <w:contextualSpacing/>
        <w:jc w:val="both"/>
        <w:rPr>
          <w:rFonts w:ascii="Garamond" w:eastAsia="Times New Roman" w:hAnsi="Garamond"/>
          <w:sz w:val="24"/>
          <w:szCs w:val="24"/>
          <w:lang w:eastAsia="pt-BR"/>
        </w:rPr>
      </w:pPr>
    </w:p>
    <w:p w14:paraId="735118E1"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11.5.3 as circunstâncias agravantes ou atenuantes.</w:t>
      </w:r>
    </w:p>
    <w:p w14:paraId="09346049" w14:textId="77777777" w:rsidR="00381F54" w:rsidRPr="006727B9" w:rsidRDefault="00381F54">
      <w:pPr>
        <w:spacing w:line="288" w:lineRule="auto"/>
        <w:contextualSpacing/>
        <w:jc w:val="both"/>
        <w:rPr>
          <w:rFonts w:ascii="Garamond" w:eastAsia="Times New Roman" w:hAnsi="Garamond"/>
          <w:sz w:val="24"/>
          <w:szCs w:val="24"/>
          <w:lang w:eastAsia="pt-BR"/>
        </w:rPr>
      </w:pPr>
    </w:p>
    <w:p w14:paraId="395E7D67"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11.5.4 os danos que dela provierem para a Administração Pública;</w:t>
      </w:r>
    </w:p>
    <w:p w14:paraId="78FDAAB0" w14:textId="77777777" w:rsidR="00381F54" w:rsidRPr="006727B9" w:rsidRDefault="00381F54">
      <w:pPr>
        <w:spacing w:line="288" w:lineRule="auto"/>
        <w:contextualSpacing/>
        <w:jc w:val="both"/>
        <w:rPr>
          <w:rFonts w:ascii="Garamond" w:eastAsia="Times New Roman" w:hAnsi="Garamond"/>
          <w:sz w:val="24"/>
          <w:szCs w:val="24"/>
          <w:lang w:eastAsia="pt-BR"/>
        </w:rPr>
      </w:pPr>
    </w:p>
    <w:p w14:paraId="368A0CB6"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11.5.5 a implantação ou o aperfeiçoamento de programa de integridade, conforme normas e orientações dos órgãos de controle.</w:t>
      </w:r>
    </w:p>
    <w:p w14:paraId="691675CF" w14:textId="77777777" w:rsidR="00381F54" w:rsidRPr="006727B9" w:rsidRDefault="00381F54">
      <w:pPr>
        <w:spacing w:line="288" w:lineRule="auto"/>
        <w:contextualSpacing/>
        <w:jc w:val="both"/>
        <w:rPr>
          <w:rFonts w:ascii="Garamond" w:eastAsia="Times New Roman" w:hAnsi="Garamond"/>
          <w:sz w:val="24"/>
          <w:szCs w:val="24"/>
          <w:lang w:eastAsia="pt-BR"/>
        </w:rPr>
      </w:pPr>
    </w:p>
    <w:p w14:paraId="1DB28248"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11.6 A imposição das penalidades é de competência exclusiva do órgão ou entidade contratante, sendo competentes para sua aplicação: </w:t>
      </w:r>
    </w:p>
    <w:p w14:paraId="643CD633" w14:textId="77777777" w:rsidR="00381F54" w:rsidRPr="006727B9" w:rsidRDefault="00381F54">
      <w:pPr>
        <w:spacing w:line="288" w:lineRule="auto"/>
        <w:contextualSpacing/>
        <w:jc w:val="both"/>
        <w:rPr>
          <w:rFonts w:ascii="Garamond" w:eastAsia="Times New Roman" w:hAnsi="Garamond"/>
          <w:sz w:val="24"/>
          <w:szCs w:val="24"/>
          <w:lang w:eastAsia="pt-BR"/>
        </w:rPr>
      </w:pPr>
    </w:p>
    <w:p w14:paraId="0CF25EC3"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a) as sanções previstas nos itens 11.2.1, 11.2.2 e 11.2.3 serão impostas pelo Ordenador de Despesa;</w:t>
      </w:r>
    </w:p>
    <w:p w14:paraId="492A1876"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b) a aplicação da sanção prevista no item 11.2.4, na forma do art. 156, §6º, I, da Lei nº 14.133/2021, é de competência exclusiva:</w:t>
      </w:r>
    </w:p>
    <w:p w14:paraId="6EF9347E" w14:textId="77777777" w:rsidR="00381F54" w:rsidRPr="006727B9" w:rsidRDefault="00000000">
      <w:pPr>
        <w:spacing w:line="288" w:lineRule="auto"/>
        <w:contextualSpacing/>
        <w:jc w:val="both"/>
        <w:rPr>
          <w:rFonts w:ascii="Garamond" w:eastAsia="Times New Roman" w:hAnsi="Garamond" w:cs="Segoe UI"/>
          <w:sz w:val="18"/>
          <w:szCs w:val="18"/>
          <w:lang w:eastAsia="pt-BR"/>
        </w:rPr>
      </w:pPr>
      <w:r w:rsidRPr="006727B9">
        <w:rPr>
          <w:rFonts w:ascii="Garamond" w:eastAsia="Times New Roman" w:hAnsi="Garamond"/>
          <w:sz w:val="24"/>
          <w:szCs w:val="24"/>
          <w:lang w:eastAsia="pt-BR"/>
        </w:rPr>
        <w:t>b.1) em se tratando de contratação realizada pela Administração Pública direta, do Secretário Municipal</w:t>
      </w:r>
      <w:r w:rsidRPr="006727B9">
        <w:rPr>
          <w:rFonts w:ascii="Garamond" w:eastAsia="Times New Roman" w:hAnsi="Garamond" w:cs="Segoe UI"/>
          <w:sz w:val="18"/>
          <w:szCs w:val="18"/>
          <w:lang w:eastAsia="pt-BR"/>
        </w:rPr>
        <w:t>;</w:t>
      </w:r>
    </w:p>
    <w:p w14:paraId="695FA681"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b.2) em se tratando de contratação realizada pela Administração Pública Indireta (fundação e autarquia), da autoridade máxima da entidade.</w:t>
      </w:r>
    </w:p>
    <w:p w14:paraId="15838FE3" w14:textId="77777777" w:rsidR="00381F54" w:rsidRPr="006727B9" w:rsidRDefault="00381F54">
      <w:pPr>
        <w:spacing w:line="288" w:lineRule="auto"/>
        <w:contextualSpacing/>
        <w:jc w:val="both"/>
        <w:rPr>
          <w:rFonts w:ascii="Garamond" w:eastAsia="Times New Roman" w:hAnsi="Garamond"/>
          <w:sz w:val="24"/>
          <w:szCs w:val="24"/>
          <w:lang w:eastAsia="pt-BR"/>
        </w:rPr>
      </w:pPr>
    </w:p>
    <w:p w14:paraId="7333B5F4" w14:textId="3F2CFCD5"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11.7 A aplicação de quaisquer das penalidades realizar-se-á em processo administrativo que assegurará o contraditório e a ampla defesa ao </w:t>
      </w:r>
      <w:r w:rsidRPr="006727B9">
        <w:rPr>
          <w:rFonts w:ascii="Garamond" w:eastAsia="Times New Roman" w:hAnsi="Garamond"/>
          <w:b/>
          <w:bCs/>
          <w:color w:val="000000"/>
          <w:sz w:val="24"/>
          <w:szCs w:val="24"/>
          <w:lang w:eastAsia="pt-BR"/>
        </w:rPr>
        <w:t>FORNECEDOR</w:t>
      </w:r>
      <w:r w:rsidRPr="006727B9">
        <w:rPr>
          <w:rFonts w:ascii="Garamond" w:eastAsia="Times New Roman" w:hAnsi="Garamond"/>
          <w:color w:val="000000"/>
          <w:sz w:val="24"/>
          <w:szCs w:val="24"/>
          <w:lang w:eastAsia="pt-BR"/>
        </w:rPr>
        <w:t xml:space="preserve">, </w:t>
      </w:r>
      <w:r w:rsidRPr="006727B9">
        <w:rPr>
          <w:rFonts w:ascii="Garamond" w:eastAsia="Times New Roman" w:hAnsi="Garamond"/>
          <w:b/>
          <w:bCs/>
          <w:color w:val="000000"/>
          <w:sz w:val="24"/>
          <w:szCs w:val="24"/>
          <w:lang w:eastAsia="pt-BR"/>
        </w:rPr>
        <w:t>LICITANTE</w:t>
      </w:r>
      <w:r w:rsidRPr="006727B9">
        <w:rPr>
          <w:rFonts w:ascii="Garamond" w:eastAsia="Times New Roman" w:hAnsi="Garamond"/>
          <w:color w:val="000000"/>
          <w:sz w:val="24"/>
          <w:szCs w:val="24"/>
          <w:lang w:eastAsia="pt-BR"/>
        </w:rPr>
        <w:t xml:space="preserve"> ou </w:t>
      </w:r>
      <w:r w:rsidRPr="006727B9">
        <w:rPr>
          <w:rFonts w:ascii="Garamond" w:eastAsia="Times New Roman" w:hAnsi="Garamond"/>
          <w:b/>
          <w:bCs/>
          <w:color w:val="000000"/>
          <w:sz w:val="24"/>
          <w:szCs w:val="24"/>
          <w:lang w:eastAsia="pt-BR"/>
        </w:rPr>
        <w:t>CONTRATADO</w:t>
      </w:r>
      <w:r w:rsidRPr="006727B9">
        <w:rPr>
          <w:rFonts w:ascii="Garamond" w:eastAsia="Times New Roman" w:hAnsi="Garamond"/>
          <w:sz w:val="24"/>
          <w:szCs w:val="24"/>
          <w:lang w:eastAsia="pt-BR"/>
        </w:rPr>
        <w:t xml:space="preserve">, na forma do art. 156, §6º, I, da Lei nº 14.133/2021, devendo ser observado o procedimento previsto na Lei nº 14.133/2021, e, </w:t>
      </w:r>
      <w:r w:rsidRPr="006727B9">
        <w:rPr>
          <w:rFonts w:ascii="Garamond" w:eastAsia="Times New Roman" w:hAnsi="Garamond"/>
          <w:color w:val="7030A0"/>
          <w:sz w:val="24"/>
          <w:szCs w:val="24"/>
          <w:lang w:eastAsia="pt-BR"/>
        </w:rPr>
        <w:t xml:space="preserve">subsidiariamente, </w:t>
      </w:r>
      <w:r w:rsidR="008F1E2A" w:rsidRPr="006727B9">
        <w:rPr>
          <w:rFonts w:ascii="Garamond" w:eastAsia="Times New Roman" w:hAnsi="Garamond"/>
          <w:color w:val="7030A0"/>
          <w:sz w:val="24"/>
          <w:szCs w:val="24"/>
          <w:lang w:eastAsia="pt-BR"/>
        </w:rPr>
        <w:t>na Lei Municipal nº 3.048/2013.</w:t>
      </w:r>
    </w:p>
    <w:p w14:paraId="21D83E37" w14:textId="77777777" w:rsidR="00381F54" w:rsidRPr="006727B9" w:rsidRDefault="00381F54">
      <w:pPr>
        <w:spacing w:line="288" w:lineRule="auto"/>
        <w:contextualSpacing/>
        <w:jc w:val="both"/>
        <w:rPr>
          <w:rFonts w:ascii="Garamond" w:eastAsia="Times New Roman" w:hAnsi="Garamond"/>
          <w:sz w:val="24"/>
          <w:szCs w:val="24"/>
          <w:lang w:eastAsia="pt-BR"/>
        </w:rPr>
      </w:pPr>
    </w:p>
    <w:p w14:paraId="7FD77F18"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11.7.1 A aplicação de sanção será antecedida de intimação do </w:t>
      </w:r>
      <w:r w:rsidRPr="006727B9">
        <w:rPr>
          <w:rFonts w:ascii="Garamond" w:eastAsia="Times New Roman" w:hAnsi="Garamond"/>
          <w:b/>
          <w:bCs/>
          <w:color w:val="000000"/>
          <w:sz w:val="24"/>
          <w:szCs w:val="24"/>
          <w:lang w:eastAsia="pt-BR"/>
        </w:rPr>
        <w:t>FORNECEDOR</w:t>
      </w:r>
      <w:r w:rsidRPr="006727B9">
        <w:rPr>
          <w:rFonts w:ascii="Garamond" w:eastAsia="Times New Roman" w:hAnsi="Garamond"/>
          <w:color w:val="000000"/>
          <w:sz w:val="24"/>
          <w:szCs w:val="24"/>
          <w:lang w:eastAsia="pt-BR"/>
        </w:rPr>
        <w:t xml:space="preserve">, </w:t>
      </w:r>
      <w:r w:rsidRPr="006727B9">
        <w:rPr>
          <w:rFonts w:ascii="Garamond" w:eastAsia="Times New Roman" w:hAnsi="Garamond"/>
          <w:b/>
          <w:bCs/>
          <w:color w:val="000000"/>
          <w:sz w:val="24"/>
          <w:szCs w:val="24"/>
          <w:lang w:eastAsia="pt-BR"/>
        </w:rPr>
        <w:t>LICITANTE</w:t>
      </w:r>
      <w:r w:rsidRPr="006727B9">
        <w:rPr>
          <w:rFonts w:ascii="Garamond" w:eastAsia="Times New Roman" w:hAnsi="Garamond"/>
          <w:color w:val="000000"/>
          <w:sz w:val="24"/>
          <w:szCs w:val="24"/>
          <w:lang w:eastAsia="pt-BR"/>
        </w:rPr>
        <w:t xml:space="preserve"> ou </w:t>
      </w:r>
      <w:r w:rsidRPr="006727B9">
        <w:rPr>
          <w:rFonts w:ascii="Garamond" w:eastAsia="Times New Roman" w:hAnsi="Garamond"/>
          <w:b/>
          <w:bCs/>
          <w:color w:val="000000"/>
          <w:sz w:val="24"/>
          <w:szCs w:val="24"/>
          <w:lang w:eastAsia="pt-BR"/>
        </w:rPr>
        <w:t>CONTRATADO</w:t>
      </w:r>
      <w:r w:rsidRPr="006727B9">
        <w:rPr>
          <w:rFonts w:ascii="Garamond" w:eastAsia="Times New Roman" w:hAnsi="Garamond"/>
          <w:sz w:val="24"/>
          <w:szCs w:val="24"/>
          <w:lang w:eastAsia="pt-BR"/>
        </w:rPr>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14:paraId="0933C7FD" w14:textId="77777777" w:rsidR="00381F54" w:rsidRPr="006727B9" w:rsidRDefault="00381F54">
      <w:pPr>
        <w:spacing w:line="288" w:lineRule="auto"/>
        <w:contextualSpacing/>
        <w:jc w:val="both"/>
        <w:rPr>
          <w:rFonts w:ascii="Garamond" w:eastAsia="Times New Roman" w:hAnsi="Garamond"/>
          <w:sz w:val="24"/>
          <w:szCs w:val="24"/>
          <w:lang w:eastAsia="pt-BR"/>
        </w:rPr>
      </w:pPr>
    </w:p>
    <w:p w14:paraId="228BE996"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11.7.2 A defesa prévia do </w:t>
      </w:r>
      <w:r w:rsidRPr="006727B9">
        <w:rPr>
          <w:rFonts w:ascii="Garamond" w:eastAsia="Times New Roman" w:hAnsi="Garamond"/>
          <w:b/>
          <w:bCs/>
          <w:color w:val="000000"/>
          <w:sz w:val="24"/>
          <w:szCs w:val="24"/>
          <w:lang w:eastAsia="pt-BR"/>
        </w:rPr>
        <w:t>FORNECEDOR</w:t>
      </w:r>
      <w:r w:rsidRPr="006727B9">
        <w:rPr>
          <w:rFonts w:ascii="Garamond" w:eastAsia="Times New Roman" w:hAnsi="Garamond"/>
          <w:color w:val="000000"/>
          <w:sz w:val="24"/>
          <w:szCs w:val="24"/>
          <w:lang w:eastAsia="pt-BR"/>
        </w:rPr>
        <w:t xml:space="preserve">, </w:t>
      </w:r>
      <w:r w:rsidRPr="006727B9">
        <w:rPr>
          <w:rFonts w:ascii="Garamond" w:eastAsia="Times New Roman" w:hAnsi="Garamond"/>
          <w:b/>
          <w:bCs/>
          <w:color w:val="000000"/>
          <w:sz w:val="24"/>
          <w:szCs w:val="24"/>
          <w:lang w:eastAsia="pt-BR"/>
        </w:rPr>
        <w:t>LICITANTE</w:t>
      </w:r>
      <w:r w:rsidRPr="006727B9">
        <w:rPr>
          <w:rFonts w:ascii="Garamond" w:eastAsia="Times New Roman" w:hAnsi="Garamond"/>
          <w:color w:val="000000"/>
          <w:sz w:val="24"/>
          <w:szCs w:val="24"/>
          <w:lang w:eastAsia="pt-BR"/>
        </w:rPr>
        <w:t xml:space="preserve"> ou </w:t>
      </w:r>
      <w:r w:rsidRPr="006727B9">
        <w:rPr>
          <w:rFonts w:ascii="Garamond" w:eastAsia="Times New Roman" w:hAnsi="Garamond"/>
          <w:b/>
          <w:bCs/>
          <w:color w:val="000000"/>
          <w:sz w:val="24"/>
          <w:szCs w:val="24"/>
          <w:lang w:eastAsia="pt-BR"/>
        </w:rPr>
        <w:t>CONTRATADO</w:t>
      </w:r>
      <w:r w:rsidRPr="006727B9">
        <w:rPr>
          <w:rFonts w:ascii="Garamond" w:eastAsia="Times New Roman" w:hAnsi="Garamond"/>
          <w:sz w:val="24"/>
          <w:szCs w:val="24"/>
          <w:lang w:eastAsia="pt-BR"/>
        </w:rPr>
        <w:t xml:space="preserve"> será exercida no prazo de:</w:t>
      </w:r>
    </w:p>
    <w:p w14:paraId="6C8CED91" w14:textId="77777777" w:rsidR="00381F54" w:rsidRPr="006727B9" w:rsidRDefault="00381F54">
      <w:pPr>
        <w:spacing w:line="288" w:lineRule="auto"/>
        <w:contextualSpacing/>
        <w:jc w:val="both"/>
        <w:rPr>
          <w:rFonts w:ascii="Garamond" w:eastAsia="Times New Roman" w:hAnsi="Garamond"/>
          <w:sz w:val="24"/>
          <w:szCs w:val="24"/>
          <w:lang w:eastAsia="pt-BR"/>
        </w:rPr>
      </w:pPr>
    </w:p>
    <w:p w14:paraId="7582B7DA"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lastRenderedPageBreak/>
        <w:t>a) 15 (quinze) dias úteis, no caso da aplicação das sanções previstas nos itens 11.2.1 e 11.2.2, contado da data da intimação;</w:t>
      </w:r>
    </w:p>
    <w:p w14:paraId="32D420DB" w14:textId="77777777" w:rsidR="00381F54" w:rsidRPr="006727B9" w:rsidRDefault="00000000">
      <w:pPr>
        <w:spacing w:line="288" w:lineRule="auto"/>
        <w:contextualSpacing/>
        <w:jc w:val="both"/>
        <w:rPr>
          <w:rFonts w:ascii="Garamond" w:eastAsia="Times New Roman" w:hAnsi="Garamond"/>
          <w:color w:val="000000"/>
          <w:sz w:val="24"/>
          <w:szCs w:val="24"/>
          <w:lang w:eastAsia="pt-BR"/>
        </w:rPr>
      </w:pPr>
      <w:r w:rsidRPr="006727B9">
        <w:rPr>
          <w:rFonts w:ascii="Garamond" w:eastAsia="Times New Roman" w:hAnsi="Garamond"/>
          <w:sz w:val="24"/>
          <w:szCs w:val="24"/>
          <w:lang w:eastAsia="pt-BR"/>
        </w:rPr>
        <w:t xml:space="preserve">b) 15 (quinze) dias úteis, no caso de aplicação das sanções previstas nos itens 11.2.3 e 11.2.4, </w:t>
      </w:r>
      <w:r w:rsidRPr="006727B9">
        <w:rPr>
          <w:rFonts w:ascii="Garamond" w:eastAsia="Times New Roman" w:hAnsi="Garamond"/>
          <w:color w:val="000000"/>
          <w:sz w:val="24"/>
          <w:szCs w:val="24"/>
          <w:lang w:eastAsia="pt-BR"/>
        </w:rPr>
        <w:t>contado da data da intimação, observado o procedimento estabelecido no art. 158 da Lei nº 14.133/2021.</w:t>
      </w:r>
    </w:p>
    <w:p w14:paraId="0EFD3260" w14:textId="77777777" w:rsidR="00381F54" w:rsidRPr="006727B9" w:rsidRDefault="00381F54">
      <w:pPr>
        <w:spacing w:line="288" w:lineRule="auto"/>
        <w:contextualSpacing/>
        <w:jc w:val="both"/>
        <w:rPr>
          <w:rFonts w:ascii="Garamond" w:eastAsia="Times New Roman" w:hAnsi="Garamond"/>
          <w:color w:val="000000"/>
          <w:sz w:val="24"/>
          <w:szCs w:val="24"/>
          <w:lang w:eastAsia="pt-BR"/>
        </w:rPr>
      </w:pPr>
    </w:p>
    <w:p w14:paraId="228244EC" w14:textId="77777777" w:rsidR="00381F54" w:rsidRPr="006727B9" w:rsidRDefault="00000000">
      <w:pPr>
        <w:spacing w:before="100" w:beforeAutospacing="1" w:after="100" w:afterAutospacing="1"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11.7.3 Será emitida decisão conclusiva sobre a aplicação ou não da sanção, pela autoridade competente, devendo ser apresentada a devida motivação, com a demonstração dos fatos e dos respectivos fundamentos jurídicos.</w:t>
      </w:r>
    </w:p>
    <w:p w14:paraId="7A9AE67A" w14:textId="77777777" w:rsidR="00381F54" w:rsidRPr="006727B9" w:rsidRDefault="00381F54">
      <w:pPr>
        <w:spacing w:before="100" w:beforeAutospacing="1" w:after="100" w:afterAutospacing="1" w:line="288" w:lineRule="auto"/>
        <w:contextualSpacing/>
        <w:jc w:val="both"/>
        <w:rPr>
          <w:rFonts w:ascii="Garamond" w:eastAsia="Times New Roman" w:hAnsi="Garamond"/>
          <w:sz w:val="24"/>
          <w:szCs w:val="24"/>
          <w:lang w:eastAsia="pt-BR"/>
        </w:rPr>
      </w:pPr>
    </w:p>
    <w:p w14:paraId="2388C0DF"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11.8 A aplicação das sanções previstas neste Contrato não exclui, em hipótese alguma:</w:t>
      </w:r>
    </w:p>
    <w:p w14:paraId="505BE9E0" w14:textId="77777777" w:rsidR="00381F54" w:rsidRPr="006727B9" w:rsidRDefault="00381F54">
      <w:pPr>
        <w:spacing w:line="288" w:lineRule="auto"/>
        <w:contextualSpacing/>
        <w:jc w:val="both"/>
        <w:rPr>
          <w:rFonts w:ascii="Garamond" w:eastAsia="Times New Roman" w:hAnsi="Garamond"/>
          <w:sz w:val="24"/>
          <w:szCs w:val="24"/>
          <w:lang w:eastAsia="pt-BR"/>
        </w:rPr>
      </w:pPr>
    </w:p>
    <w:p w14:paraId="71281F6C"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a) a obrigação de reparação integral do dano causado à Administração Pública, na forma do art. 156, §9º, da Lei nº 14.133/2021 e do art. 416, parágrafo único, do Código Civil; e</w:t>
      </w:r>
    </w:p>
    <w:p w14:paraId="2B4A6567" w14:textId="77777777" w:rsidR="00381F54" w:rsidRPr="006727B9" w:rsidRDefault="00381F54">
      <w:pPr>
        <w:spacing w:line="288" w:lineRule="auto"/>
        <w:contextualSpacing/>
        <w:jc w:val="both"/>
        <w:rPr>
          <w:rFonts w:ascii="Garamond" w:eastAsia="Times New Roman" w:hAnsi="Garamond"/>
          <w:sz w:val="24"/>
          <w:szCs w:val="24"/>
          <w:lang w:eastAsia="pt-BR"/>
        </w:rPr>
      </w:pPr>
    </w:p>
    <w:p w14:paraId="6020DAEF" w14:textId="77777777" w:rsidR="00381F54" w:rsidRPr="006727B9" w:rsidRDefault="00000000">
      <w:pPr>
        <w:spacing w:line="288" w:lineRule="auto"/>
        <w:contextualSpacing/>
        <w:jc w:val="both"/>
        <w:rPr>
          <w:rFonts w:ascii="Garamond" w:eastAsia="Arial" w:hAnsi="Garamond"/>
          <w:color w:val="000000"/>
          <w:sz w:val="24"/>
          <w:szCs w:val="24"/>
          <w:lang w:eastAsia="pt-BR"/>
        </w:rPr>
      </w:pPr>
      <w:r w:rsidRPr="006727B9">
        <w:rPr>
          <w:rFonts w:ascii="Garamond" w:eastAsia="Arial" w:hAnsi="Garamond"/>
          <w:color w:val="000000"/>
          <w:sz w:val="24"/>
          <w:szCs w:val="24"/>
          <w:lang w:eastAsia="pt-BR"/>
        </w:rPr>
        <w:t xml:space="preserve">b) a possibilidade de rescisão administrativa do Contrato, na forma dos </w:t>
      </w:r>
      <w:proofErr w:type="spellStart"/>
      <w:r w:rsidRPr="006727B9">
        <w:rPr>
          <w:rFonts w:ascii="Garamond" w:eastAsia="Arial" w:hAnsi="Garamond"/>
          <w:color w:val="000000"/>
          <w:sz w:val="24"/>
          <w:szCs w:val="24"/>
          <w:lang w:eastAsia="pt-BR"/>
        </w:rPr>
        <w:t>arts</w:t>
      </w:r>
      <w:proofErr w:type="spellEnd"/>
      <w:r w:rsidRPr="006727B9">
        <w:rPr>
          <w:rFonts w:ascii="Garamond" w:eastAsia="Arial" w:hAnsi="Garamond"/>
          <w:color w:val="000000"/>
          <w:sz w:val="24"/>
          <w:szCs w:val="24"/>
          <w:lang w:eastAsia="pt-BR"/>
        </w:rPr>
        <w:t>. 138 e 139 da Lei nº 14.133/2021, garantido o contraditório e a ampla defesa.</w:t>
      </w:r>
    </w:p>
    <w:p w14:paraId="677BFDB4" w14:textId="77777777" w:rsidR="00381F54" w:rsidRPr="006727B9" w:rsidRDefault="00381F54">
      <w:pPr>
        <w:spacing w:line="288" w:lineRule="auto"/>
        <w:contextualSpacing/>
        <w:jc w:val="both"/>
        <w:rPr>
          <w:rFonts w:ascii="Garamond" w:eastAsia="Arial" w:hAnsi="Garamond"/>
          <w:color w:val="000000"/>
          <w:sz w:val="24"/>
          <w:szCs w:val="24"/>
          <w:lang w:eastAsia="pt-BR"/>
        </w:rPr>
      </w:pPr>
    </w:p>
    <w:p w14:paraId="1AC0DE66" w14:textId="77777777" w:rsidR="00381F54" w:rsidRPr="006727B9" w:rsidRDefault="00000000">
      <w:pPr>
        <w:spacing w:line="288" w:lineRule="auto"/>
        <w:contextualSpacing/>
        <w:jc w:val="both"/>
        <w:rPr>
          <w:rFonts w:ascii="Garamond" w:eastAsia="Arial" w:hAnsi="Garamond"/>
          <w:color w:val="000000"/>
          <w:sz w:val="24"/>
          <w:szCs w:val="24"/>
          <w:lang w:eastAsia="pt-BR"/>
        </w:rPr>
      </w:pPr>
      <w:r w:rsidRPr="006727B9">
        <w:rPr>
          <w:rFonts w:ascii="Garamond" w:eastAsia="Arial" w:hAnsi="Garamond"/>
          <w:color w:val="000000"/>
          <w:sz w:val="24"/>
          <w:szCs w:val="24"/>
          <w:lang w:eastAsia="pt-BR"/>
        </w:rPr>
        <w:t xml:space="preserve">11.8.1 Aplica-se o disposto na alínea a do item 11.8 à multa compensatória, nos termos do parágrafo único do art. 416 do Código Civil. </w:t>
      </w:r>
    </w:p>
    <w:p w14:paraId="7420BA21" w14:textId="77777777" w:rsidR="00381F54" w:rsidRPr="006727B9" w:rsidRDefault="00381F54">
      <w:pPr>
        <w:spacing w:line="288" w:lineRule="auto"/>
        <w:contextualSpacing/>
        <w:jc w:val="both"/>
        <w:rPr>
          <w:rFonts w:ascii="Garamond" w:eastAsia="Arial" w:hAnsi="Garamond"/>
          <w:color w:val="000000"/>
          <w:sz w:val="24"/>
          <w:szCs w:val="24"/>
          <w:lang w:eastAsia="pt-BR"/>
        </w:rPr>
      </w:pPr>
    </w:p>
    <w:p w14:paraId="26918458" w14:textId="77777777" w:rsidR="00381F54" w:rsidRPr="006727B9" w:rsidRDefault="00000000">
      <w:pPr>
        <w:spacing w:line="288" w:lineRule="auto"/>
        <w:contextualSpacing/>
        <w:jc w:val="both"/>
        <w:rPr>
          <w:rFonts w:ascii="Garamond" w:eastAsia="Arial" w:hAnsi="Garamond"/>
          <w:color w:val="000000"/>
          <w:sz w:val="24"/>
          <w:szCs w:val="24"/>
          <w:lang w:eastAsia="pt-BR"/>
        </w:rPr>
      </w:pPr>
      <w:r w:rsidRPr="006727B9">
        <w:rPr>
          <w:rFonts w:ascii="Garamond" w:eastAsia="Arial" w:hAnsi="Garamond"/>
          <w:color w:val="000000"/>
          <w:sz w:val="24"/>
          <w:szCs w:val="24"/>
          <w:lang w:eastAsia="pt-BR"/>
        </w:rPr>
        <w:t>11.9 As sanções de impedimento de licitar e contratar e de declaração de inidoneidade para licitar ou contratar são passíveis de reabilitação, observados os requisitos estabelecidos no art. 163 da Lei nº 14.133/2021.</w:t>
      </w:r>
    </w:p>
    <w:p w14:paraId="378EDD4A" w14:textId="77777777" w:rsidR="00381F54" w:rsidRPr="006727B9" w:rsidRDefault="00381F54">
      <w:pPr>
        <w:spacing w:line="288" w:lineRule="auto"/>
        <w:contextualSpacing/>
        <w:jc w:val="both"/>
        <w:rPr>
          <w:rFonts w:ascii="Garamond" w:eastAsia="Times New Roman" w:hAnsi="Garamond"/>
          <w:sz w:val="24"/>
          <w:szCs w:val="24"/>
          <w:lang w:eastAsia="pt-BR"/>
        </w:rPr>
      </w:pPr>
    </w:p>
    <w:p w14:paraId="7ECC37FF"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11.10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8D22DA" w14:textId="77777777" w:rsidR="00381F54" w:rsidRPr="006727B9" w:rsidRDefault="00381F54">
      <w:pPr>
        <w:spacing w:line="288" w:lineRule="auto"/>
        <w:contextualSpacing/>
        <w:jc w:val="both"/>
        <w:rPr>
          <w:rFonts w:ascii="Garamond" w:eastAsia="Times New Roman" w:hAnsi="Garamond"/>
          <w:sz w:val="24"/>
          <w:szCs w:val="24"/>
          <w:lang w:eastAsia="pt-BR"/>
        </w:rPr>
      </w:pPr>
    </w:p>
    <w:p w14:paraId="707EF0B7"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11.10.1 A apuração e o julgamento das demais infrações administrativas não consideradas como ato lesivo à Administração Pública nacional nos termos da Lei nº 12.846/2013 seguirão seu rito normal na unidade administrativa.</w:t>
      </w:r>
    </w:p>
    <w:p w14:paraId="50E58F7F" w14:textId="77777777" w:rsidR="00381F54" w:rsidRPr="006727B9" w:rsidRDefault="00381F54">
      <w:pPr>
        <w:spacing w:line="288" w:lineRule="auto"/>
        <w:contextualSpacing/>
        <w:jc w:val="both"/>
        <w:rPr>
          <w:rFonts w:ascii="Garamond" w:eastAsia="Times New Roman" w:hAnsi="Garamond"/>
          <w:sz w:val="24"/>
          <w:szCs w:val="24"/>
          <w:lang w:eastAsia="pt-BR"/>
        </w:rPr>
      </w:pPr>
    </w:p>
    <w:p w14:paraId="11BECE16"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lastRenderedPageBreak/>
        <w:t>11.10.2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w:t>
      </w:r>
    </w:p>
    <w:p w14:paraId="5FF4D863" w14:textId="77777777" w:rsidR="00381F54" w:rsidRPr="006727B9" w:rsidRDefault="00381F54">
      <w:pPr>
        <w:spacing w:line="288" w:lineRule="auto"/>
        <w:contextualSpacing/>
        <w:jc w:val="both"/>
        <w:rPr>
          <w:rFonts w:ascii="Garamond" w:eastAsia="Times New Roman" w:hAnsi="Garamond"/>
          <w:sz w:val="24"/>
          <w:szCs w:val="24"/>
          <w:lang w:eastAsia="pt-BR"/>
        </w:rPr>
      </w:pPr>
    </w:p>
    <w:p w14:paraId="4F1E4939" w14:textId="251985EB"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11.10.2.1 Caso seja possível, a apuração deverá ser promovida em conjunto no PAR</w:t>
      </w:r>
      <w:r w:rsidR="000D0FBA">
        <w:rPr>
          <w:rFonts w:ascii="Garamond" w:eastAsia="Times New Roman" w:hAnsi="Garamond"/>
          <w:sz w:val="24"/>
          <w:szCs w:val="24"/>
          <w:lang w:eastAsia="pt-BR"/>
        </w:rPr>
        <w:t>.</w:t>
      </w:r>
    </w:p>
    <w:p w14:paraId="57EBE1D4" w14:textId="77777777" w:rsidR="00381F54" w:rsidRPr="006727B9" w:rsidRDefault="00381F54">
      <w:pPr>
        <w:spacing w:line="288" w:lineRule="auto"/>
        <w:contextualSpacing/>
        <w:jc w:val="both"/>
        <w:rPr>
          <w:rFonts w:ascii="Garamond" w:eastAsia="Times New Roman" w:hAnsi="Garamond"/>
          <w:sz w:val="24"/>
          <w:szCs w:val="24"/>
          <w:lang w:eastAsia="pt-BR"/>
        </w:rPr>
      </w:pPr>
    </w:p>
    <w:p w14:paraId="0F435EDB"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11.11 Na hipótese de abertura de processo administrativo destinado a apuração de fatos e, se for o caso, aplicação de sanções ao </w:t>
      </w:r>
      <w:r w:rsidRPr="006727B9">
        <w:rPr>
          <w:rFonts w:ascii="Garamond" w:eastAsia="Times New Roman" w:hAnsi="Garamond"/>
          <w:b/>
          <w:bCs/>
          <w:color w:val="000000"/>
          <w:sz w:val="24"/>
          <w:szCs w:val="24"/>
          <w:lang w:eastAsia="pt-BR"/>
        </w:rPr>
        <w:t>FORNECEDOR</w:t>
      </w:r>
      <w:r w:rsidRPr="006727B9">
        <w:rPr>
          <w:rFonts w:ascii="Garamond" w:eastAsia="Times New Roman" w:hAnsi="Garamond"/>
          <w:color w:val="000000"/>
          <w:sz w:val="24"/>
          <w:szCs w:val="24"/>
          <w:lang w:eastAsia="pt-BR"/>
        </w:rPr>
        <w:t xml:space="preserve">, </w:t>
      </w:r>
      <w:r w:rsidRPr="006727B9">
        <w:rPr>
          <w:rFonts w:ascii="Garamond" w:eastAsia="Times New Roman" w:hAnsi="Garamond"/>
          <w:b/>
          <w:bCs/>
          <w:color w:val="000000"/>
          <w:sz w:val="24"/>
          <w:szCs w:val="24"/>
          <w:lang w:eastAsia="pt-BR"/>
        </w:rPr>
        <w:t>LICITANTE</w:t>
      </w:r>
      <w:r w:rsidRPr="006727B9">
        <w:rPr>
          <w:rFonts w:ascii="Garamond" w:eastAsia="Times New Roman" w:hAnsi="Garamond"/>
          <w:color w:val="000000"/>
          <w:sz w:val="24"/>
          <w:szCs w:val="24"/>
          <w:lang w:eastAsia="pt-BR"/>
        </w:rPr>
        <w:t xml:space="preserve"> ou </w:t>
      </w:r>
      <w:r w:rsidRPr="006727B9">
        <w:rPr>
          <w:rFonts w:ascii="Garamond" w:eastAsia="Times New Roman" w:hAnsi="Garamond"/>
          <w:b/>
          <w:bCs/>
          <w:color w:val="000000"/>
          <w:sz w:val="24"/>
          <w:szCs w:val="24"/>
          <w:lang w:eastAsia="pt-BR"/>
        </w:rPr>
        <w:t>CONTRATADO</w:t>
      </w:r>
      <w:r w:rsidRPr="006727B9">
        <w:rPr>
          <w:rFonts w:ascii="Garamond" w:eastAsia="Times New Roman" w:hAnsi="Garamond"/>
          <w:sz w:val="24"/>
          <w:szCs w:val="24"/>
          <w:lang w:eastAsia="pt-BR"/>
        </w:rPr>
        <w:t>, em decorrência de conduta vedada no contrato, as comunicações serão efetuadas por meio do endereço de correio eletrônico ("e-mail") cadastrado pela empresa junto ao sistema eletrônico de contratações do Município.</w:t>
      </w:r>
    </w:p>
    <w:p w14:paraId="269AAD0F" w14:textId="77777777" w:rsidR="00381F54" w:rsidRPr="006727B9" w:rsidRDefault="00381F54">
      <w:pPr>
        <w:spacing w:line="288" w:lineRule="auto"/>
        <w:contextualSpacing/>
        <w:jc w:val="both"/>
        <w:rPr>
          <w:rFonts w:ascii="Garamond" w:eastAsia="Times New Roman" w:hAnsi="Garamond"/>
          <w:sz w:val="24"/>
          <w:szCs w:val="24"/>
          <w:lang w:eastAsia="pt-BR"/>
        </w:rPr>
      </w:pPr>
    </w:p>
    <w:p w14:paraId="16EDE674"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11.11.1 O </w:t>
      </w:r>
      <w:r w:rsidRPr="006727B9">
        <w:rPr>
          <w:rFonts w:ascii="Garamond" w:eastAsia="Times New Roman" w:hAnsi="Garamond"/>
          <w:b/>
          <w:bCs/>
          <w:color w:val="000000"/>
          <w:sz w:val="24"/>
          <w:szCs w:val="24"/>
          <w:lang w:eastAsia="pt-BR"/>
        </w:rPr>
        <w:t>FORNECEDOR</w:t>
      </w:r>
      <w:r w:rsidRPr="006727B9">
        <w:rPr>
          <w:rFonts w:ascii="Garamond" w:eastAsia="Times New Roman" w:hAnsi="Garamond"/>
          <w:color w:val="000000"/>
          <w:sz w:val="24"/>
          <w:szCs w:val="24"/>
          <w:lang w:eastAsia="pt-BR"/>
        </w:rPr>
        <w:t xml:space="preserve">, </w:t>
      </w:r>
      <w:r w:rsidRPr="006727B9">
        <w:rPr>
          <w:rFonts w:ascii="Garamond" w:eastAsia="Times New Roman" w:hAnsi="Garamond"/>
          <w:b/>
          <w:bCs/>
          <w:color w:val="000000"/>
          <w:sz w:val="24"/>
          <w:szCs w:val="24"/>
          <w:lang w:eastAsia="pt-BR"/>
        </w:rPr>
        <w:t>LICITANTE</w:t>
      </w:r>
      <w:r w:rsidRPr="006727B9">
        <w:rPr>
          <w:rFonts w:ascii="Garamond" w:eastAsia="Times New Roman" w:hAnsi="Garamond"/>
          <w:color w:val="000000"/>
          <w:sz w:val="24"/>
          <w:szCs w:val="24"/>
          <w:lang w:eastAsia="pt-BR"/>
        </w:rPr>
        <w:t xml:space="preserve"> ou </w:t>
      </w:r>
      <w:r w:rsidRPr="006727B9">
        <w:rPr>
          <w:rFonts w:ascii="Garamond" w:eastAsia="Times New Roman" w:hAnsi="Garamond"/>
          <w:b/>
          <w:bCs/>
          <w:color w:val="000000"/>
          <w:sz w:val="24"/>
          <w:szCs w:val="24"/>
          <w:lang w:eastAsia="pt-BR"/>
        </w:rPr>
        <w:t>CONTRATADO</w:t>
      </w:r>
      <w:r w:rsidRPr="006727B9">
        <w:rPr>
          <w:rFonts w:ascii="Garamond" w:eastAsia="Times New Roman" w:hAnsi="Garamond"/>
          <w:sz w:val="24"/>
          <w:szCs w:val="24"/>
          <w:lang w:eastAsia="pt-BR"/>
        </w:rPr>
        <w:t xml:space="preserve"> deverá manter atualizado o endereço de correio eletrônico ("e-mail") cadastrado junto ao sistema eletrônico de contratações do Município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3FAEA6FD" w14:textId="77777777" w:rsidR="00381F54" w:rsidRPr="006727B9" w:rsidRDefault="00381F54">
      <w:pPr>
        <w:spacing w:line="288" w:lineRule="auto"/>
        <w:contextualSpacing/>
        <w:jc w:val="both"/>
        <w:rPr>
          <w:rFonts w:ascii="Garamond" w:eastAsia="Times New Roman" w:hAnsi="Garamond"/>
          <w:sz w:val="24"/>
          <w:szCs w:val="24"/>
          <w:lang w:eastAsia="pt-BR"/>
        </w:rPr>
      </w:pPr>
    </w:p>
    <w:p w14:paraId="2A491041"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11.12 O </w:t>
      </w:r>
      <w:r w:rsidRPr="006727B9">
        <w:rPr>
          <w:rFonts w:ascii="Garamond" w:eastAsia="Times New Roman" w:hAnsi="Garamond"/>
          <w:b/>
          <w:bCs/>
          <w:sz w:val="24"/>
          <w:szCs w:val="24"/>
          <w:lang w:eastAsia="pt-BR"/>
        </w:rPr>
        <w:t>CONTRATANTE</w:t>
      </w:r>
      <w:r w:rsidRPr="006727B9">
        <w:rPr>
          <w:rFonts w:ascii="Garamond" w:eastAsia="Times New Roman" w:hAnsi="Garamond"/>
          <w:sz w:val="24"/>
          <w:szCs w:val="24"/>
          <w:lang w:eastAsia="pt-BR"/>
        </w:rPr>
        <w:t xml:space="preserve"> deverá remeter para Controladoria Geral do Município – CGM, no prazo de 15 (quinze) dias úteis, contado da sua aplicação, o extrato de publicação no Diário Oficial do Município do ato de aplicação das sanções de impedimento de licitar e contratar e de declaração de inidoneidade para licitar e contratar, de modo a possibilitar a formalização da extensão dos seus efeitos para todos os órgãos e entidades da Administração Pública do Município de Niterói, bem como para fins de publicidade, ao Cadastro Nacional de Empresas Inidôneas e Suspensas – CEIS e ao Cadastro Nacional de Empresas Punidas (</w:t>
      </w:r>
      <w:proofErr w:type="spellStart"/>
      <w:r w:rsidRPr="006727B9">
        <w:rPr>
          <w:rFonts w:ascii="Garamond" w:eastAsia="Times New Roman" w:hAnsi="Garamond"/>
          <w:sz w:val="24"/>
          <w:szCs w:val="24"/>
          <w:lang w:eastAsia="pt-BR"/>
        </w:rPr>
        <w:t>Cnep</w:t>
      </w:r>
      <w:proofErr w:type="spellEnd"/>
      <w:r w:rsidRPr="006727B9">
        <w:rPr>
          <w:rFonts w:ascii="Garamond" w:eastAsia="Times New Roman" w:hAnsi="Garamond"/>
          <w:sz w:val="24"/>
          <w:szCs w:val="24"/>
          <w:lang w:eastAsia="pt-BR"/>
        </w:rPr>
        <w:t>), na forma do art. 161 da Lei nº 14.133/2021.</w:t>
      </w:r>
    </w:p>
    <w:p w14:paraId="50014702" w14:textId="77777777" w:rsidR="00381F54" w:rsidRPr="006727B9" w:rsidRDefault="00381F54">
      <w:pPr>
        <w:spacing w:line="288" w:lineRule="auto"/>
        <w:contextualSpacing/>
        <w:jc w:val="both"/>
        <w:rPr>
          <w:rFonts w:ascii="Garamond" w:eastAsia="Times New Roman" w:hAnsi="Garamond"/>
          <w:color w:val="000000"/>
          <w:sz w:val="24"/>
          <w:szCs w:val="24"/>
          <w:lang w:eastAsia="pt-BR"/>
        </w:rPr>
      </w:pPr>
    </w:p>
    <w:p w14:paraId="5C0DF6CF" w14:textId="77777777" w:rsidR="00381F54" w:rsidRPr="006727B9" w:rsidRDefault="00381F54">
      <w:pPr>
        <w:spacing w:line="288" w:lineRule="auto"/>
        <w:contextualSpacing/>
        <w:jc w:val="both"/>
        <w:rPr>
          <w:rFonts w:ascii="Garamond" w:eastAsia="Times New Roman" w:hAnsi="Garamond"/>
          <w:sz w:val="24"/>
          <w:szCs w:val="24"/>
          <w:lang w:eastAsia="pt-BR"/>
        </w:rPr>
      </w:pPr>
    </w:p>
    <w:p w14:paraId="1EC2504C"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 xml:space="preserve">11.13 Caso o valor da multa aplicada seja superior ao </w:t>
      </w:r>
      <w:r w:rsidRPr="006727B9">
        <w:rPr>
          <w:rFonts w:ascii="Garamond" w:eastAsia="Times New Roman" w:hAnsi="Garamond"/>
          <w:color w:val="000000"/>
          <w:sz w:val="24"/>
          <w:szCs w:val="24"/>
          <w:lang w:eastAsia="pt-BR"/>
        </w:rPr>
        <w:t xml:space="preserve">do pagamento eventualmente devido pela Administração ao </w:t>
      </w:r>
      <w:r w:rsidRPr="006727B9">
        <w:rPr>
          <w:rFonts w:ascii="Garamond" w:eastAsia="Times New Roman" w:hAnsi="Garamond"/>
          <w:b/>
          <w:bCs/>
          <w:color w:val="000000"/>
          <w:sz w:val="24"/>
          <w:szCs w:val="24"/>
          <w:lang w:eastAsia="pt-BR"/>
        </w:rPr>
        <w:t>FORNECEDOR</w:t>
      </w:r>
      <w:r w:rsidRPr="006727B9">
        <w:rPr>
          <w:rFonts w:ascii="Garamond" w:eastAsia="Times New Roman" w:hAnsi="Garamond"/>
          <w:color w:val="000000"/>
          <w:sz w:val="24"/>
          <w:szCs w:val="24"/>
          <w:lang w:eastAsia="pt-BR"/>
        </w:rPr>
        <w:t xml:space="preserve">, </w:t>
      </w:r>
      <w:r w:rsidRPr="006727B9">
        <w:rPr>
          <w:rFonts w:ascii="Garamond" w:eastAsia="Times New Roman" w:hAnsi="Garamond"/>
          <w:b/>
          <w:bCs/>
          <w:color w:val="000000"/>
          <w:sz w:val="24"/>
          <w:szCs w:val="24"/>
          <w:lang w:eastAsia="pt-BR"/>
        </w:rPr>
        <w:t>LICITANTE</w:t>
      </w:r>
      <w:r w:rsidRPr="006727B9">
        <w:rPr>
          <w:rFonts w:ascii="Garamond" w:eastAsia="Times New Roman" w:hAnsi="Garamond"/>
          <w:color w:val="000000"/>
          <w:sz w:val="24"/>
          <w:szCs w:val="24"/>
          <w:lang w:eastAsia="pt-BR"/>
        </w:rPr>
        <w:t xml:space="preserve"> ou </w:t>
      </w:r>
      <w:r w:rsidRPr="006727B9">
        <w:rPr>
          <w:rFonts w:ascii="Garamond" w:eastAsia="Times New Roman" w:hAnsi="Garamond"/>
          <w:b/>
          <w:bCs/>
          <w:color w:val="000000"/>
          <w:sz w:val="24"/>
          <w:szCs w:val="24"/>
          <w:lang w:eastAsia="pt-BR"/>
        </w:rPr>
        <w:t>CONTRATADO</w:t>
      </w:r>
      <w:r w:rsidRPr="006727B9">
        <w:rPr>
          <w:rFonts w:ascii="Garamond" w:eastAsia="Times New Roman" w:hAnsi="Garamond"/>
          <w:color w:val="000000"/>
          <w:sz w:val="24"/>
          <w:szCs w:val="24"/>
          <w:lang w:eastAsia="pt-BR"/>
        </w:rPr>
        <w:t xml:space="preserve"> e da garantia prestada</w:t>
      </w:r>
      <w:r w:rsidRPr="006727B9">
        <w:rPr>
          <w:rFonts w:ascii="Garamond" w:eastAsia="Times New Roman" w:hAnsi="Garamond"/>
          <w:sz w:val="24"/>
          <w:szCs w:val="24"/>
          <w:lang w:eastAsia="pt-BR"/>
        </w:rPr>
        <w:t>, deverá ser emitida nota de débito no valor do saldo, no prazo de 30 (trinta) dias após a decisão final quanto à penalidade.</w:t>
      </w:r>
    </w:p>
    <w:p w14:paraId="1F8F3912" w14:textId="77777777" w:rsidR="00381F54" w:rsidRPr="006727B9" w:rsidRDefault="00381F54">
      <w:pPr>
        <w:spacing w:line="288" w:lineRule="auto"/>
        <w:contextualSpacing/>
        <w:jc w:val="both"/>
        <w:rPr>
          <w:rFonts w:ascii="Garamond" w:eastAsia="Times New Roman" w:hAnsi="Garamond"/>
          <w:sz w:val="24"/>
          <w:szCs w:val="24"/>
          <w:lang w:eastAsia="pt-BR"/>
        </w:rPr>
      </w:pPr>
    </w:p>
    <w:p w14:paraId="548D29A0"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t>11.13.1 A nota de débito deverá ser encaminhada à Procuradoria Geral do Município para inscrição do débito em dívida ativa e propositura de execução fiscal, na forma do art. 39 da Lei nº 4.320, de 17 de março de 1964, e do art. 1º da Lei nº 1.012, de 15 de julho de 1986.</w:t>
      </w:r>
    </w:p>
    <w:p w14:paraId="4682C0E8" w14:textId="77777777" w:rsidR="00381F54" w:rsidRPr="006727B9" w:rsidRDefault="00381F54">
      <w:pPr>
        <w:spacing w:line="288" w:lineRule="auto"/>
        <w:contextualSpacing/>
        <w:jc w:val="both"/>
        <w:rPr>
          <w:rFonts w:ascii="Garamond" w:eastAsia="Times New Roman" w:hAnsi="Garamond"/>
          <w:sz w:val="24"/>
          <w:szCs w:val="24"/>
          <w:lang w:eastAsia="pt-BR"/>
        </w:rPr>
      </w:pPr>
    </w:p>
    <w:p w14:paraId="212F5FB2" w14:textId="77777777" w:rsidR="00381F54" w:rsidRPr="006727B9" w:rsidRDefault="00000000">
      <w:pPr>
        <w:spacing w:line="288" w:lineRule="auto"/>
        <w:contextualSpacing/>
        <w:jc w:val="both"/>
        <w:rPr>
          <w:rFonts w:ascii="Garamond" w:eastAsia="Times New Roman" w:hAnsi="Garamond"/>
          <w:sz w:val="24"/>
          <w:szCs w:val="24"/>
          <w:lang w:eastAsia="pt-BR"/>
        </w:rPr>
      </w:pPr>
      <w:r w:rsidRPr="006727B9">
        <w:rPr>
          <w:rFonts w:ascii="Garamond" w:eastAsia="Times New Roman" w:hAnsi="Garamond"/>
          <w:sz w:val="24"/>
          <w:szCs w:val="24"/>
          <w:lang w:eastAsia="pt-BR"/>
        </w:rPr>
        <w:lastRenderedPageBreak/>
        <w:t>11.13.2 O procedimento para inscrição do débito em dívida ativa deverá observar o que dispõem as leis municipais, sendo que, em caso de dúvida, a Procuradoria Fiscal deverá ser consultada.</w:t>
      </w:r>
    </w:p>
    <w:p w14:paraId="3176FA38" w14:textId="77777777" w:rsidR="00381F54" w:rsidRPr="006727B9" w:rsidRDefault="00381F54">
      <w:pPr>
        <w:tabs>
          <w:tab w:val="left" w:pos="1039"/>
        </w:tabs>
        <w:rPr>
          <w:rFonts w:ascii="Garamond" w:eastAsia="Arial" w:hAnsi="Garamond"/>
          <w:sz w:val="24"/>
          <w:szCs w:val="24"/>
        </w:rPr>
      </w:pPr>
    </w:p>
    <w:p w14:paraId="3C6A05EB" w14:textId="79FCC820" w:rsidR="00381F54" w:rsidRPr="006727B9" w:rsidRDefault="00000000" w:rsidP="00F24CF9">
      <w:pPr>
        <w:pStyle w:val="Nivel01"/>
        <w:numPr>
          <w:ilvl w:val="0"/>
          <w:numId w:val="13"/>
        </w:numPr>
        <w:rPr>
          <w:rFonts w:ascii="Garamond" w:hAnsi="Garamond" w:cs="Times New Roman"/>
          <w:color w:val="FFFFFF" w:themeColor="background1"/>
          <w:sz w:val="24"/>
          <w:szCs w:val="24"/>
        </w:rPr>
      </w:pPr>
      <w:r w:rsidRPr="006727B9">
        <w:rPr>
          <w:rFonts w:ascii="Garamond" w:hAnsi="Garamond" w:cs="Times New Roman"/>
          <w:sz w:val="24"/>
          <w:szCs w:val="24"/>
        </w:rPr>
        <w:t>CLÁUSULA DÉCIMA SEGUNDA– DA EXTINÇÃO CONTRATUAL (</w:t>
      </w:r>
      <w:hyperlink r:id="rId35" w:anchor="art92" w:tooltip="http://www.planalto.gov.br/ccivil_03/_ato2019-2022/2021/lei/L14133.htm#art92" w:history="1">
        <w:r w:rsidR="00381F54" w:rsidRPr="006727B9">
          <w:rPr>
            <w:rStyle w:val="Hyperlink"/>
            <w:rFonts w:ascii="Garamond" w:hAnsi="Garamond" w:cs="Times New Roman"/>
            <w:sz w:val="24"/>
            <w:szCs w:val="24"/>
          </w:rPr>
          <w:t>art. 92, XIX</w:t>
        </w:r>
      </w:hyperlink>
      <w:r w:rsidRPr="006727B9">
        <w:rPr>
          <w:rFonts w:ascii="Garamond" w:hAnsi="Garamond" w:cs="Times New Roman"/>
          <w:sz w:val="24"/>
          <w:szCs w:val="24"/>
        </w:rPr>
        <w:t>)</w:t>
      </w:r>
    </w:p>
    <w:p w14:paraId="4A71DE77"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O contrato </w:t>
      </w:r>
      <w:r w:rsidRPr="006727B9">
        <w:rPr>
          <w:rFonts w:ascii="Garamond" w:hAnsi="Garamond" w:cs="Times New Roman"/>
          <w:sz w:val="24"/>
          <w:szCs w:val="24"/>
          <w:highlight w:val="yellow"/>
        </w:rPr>
        <w:t>será extinto</w:t>
      </w:r>
      <w:r w:rsidRPr="006727B9">
        <w:rPr>
          <w:rFonts w:ascii="Garamond" w:hAnsi="Garamond" w:cs="Times New Roman"/>
          <w:i w:val="0"/>
          <w:sz w:val="24"/>
          <w:szCs w:val="24"/>
        </w:rPr>
        <w:t xml:space="preserve"> </w:t>
      </w:r>
      <w:r w:rsidRPr="006727B9">
        <w:rPr>
          <w:rFonts w:ascii="Garamond" w:hAnsi="Garamond" w:cs="Times New Roman"/>
          <w:sz w:val="24"/>
          <w:szCs w:val="24"/>
        </w:rPr>
        <w:t>quando cumpridas as obrigações de ambas as partes, ainda que isso ocorra antes do prazo estipulado para tanto.</w:t>
      </w:r>
    </w:p>
    <w:p w14:paraId="0D7049C2"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14:paraId="27CA58BE"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Quando a não conclusão do contrato referida no item anterior decorrer de culpa do contratado:</w:t>
      </w:r>
    </w:p>
    <w:p w14:paraId="18BB2C85" w14:textId="77777777" w:rsidR="00381F54" w:rsidRPr="006727B9" w:rsidRDefault="00000000">
      <w:pPr>
        <w:pStyle w:val="PargrafodaLista"/>
        <w:numPr>
          <w:ilvl w:val="0"/>
          <w:numId w:val="3"/>
        </w:numPr>
        <w:spacing w:line="312" w:lineRule="auto"/>
        <w:ind w:left="567" w:firstLine="0"/>
        <w:contextualSpacing/>
        <w:rPr>
          <w:rFonts w:ascii="Garamond" w:eastAsia="Arial" w:hAnsi="Garamond" w:cs="Times New Roman"/>
          <w:i/>
          <w:iCs/>
          <w:color w:val="FF0000"/>
          <w:sz w:val="24"/>
          <w:szCs w:val="24"/>
        </w:rPr>
      </w:pPr>
      <w:r w:rsidRPr="006727B9">
        <w:rPr>
          <w:rFonts w:ascii="Garamond" w:eastAsia="Arial" w:hAnsi="Garamond" w:cs="Times New Roman"/>
          <w:i/>
          <w:iCs/>
          <w:color w:val="FF0000"/>
          <w:sz w:val="24"/>
          <w:szCs w:val="24"/>
        </w:rPr>
        <w:t xml:space="preserve">ficará ele constituído em mora, sendo-lhe aplicáveis as respectivas sanções administrativas; e  </w:t>
      </w:r>
    </w:p>
    <w:p w14:paraId="5FA7A655" w14:textId="77777777" w:rsidR="00381F54" w:rsidRPr="006727B9" w:rsidRDefault="00000000">
      <w:pPr>
        <w:pStyle w:val="PargrafodaLista"/>
        <w:numPr>
          <w:ilvl w:val="0"/>
          <w:numId w:val="3"/>
        </w:numPr>
        <w:spacing w:line="312" w:lineRule="auto"/>
        <w:ind w:left="567" w:firstLine="0"/>
        <w:contextualSpacing/>
        <w:rPr>
          <w:rFonts w:ascii="Garamond" w:eastAsia="Arial" w:hAnsi="Garamond" w:cs="Times New Roman"/>
          <w:i/>
          <w:iCs/>
          <w:color w:val="FF0000"/>
          <w:sz w:val="24"/>
          <w:szCs w:val="24"/>
        </w:rPr>
      </w:pPr>
      <w:r w:rsidRPr="006727B9">
        <w:rPr>
          <w:rFonts w:ascii="Garamond" w:eastAsia="Arial" w:hAnsi="Garamond" w:cs="Times New Roman"/>
          <w:i/>
          <w:iCs/>
          <w:color w:val="FF0000"/>
          <w:sz w:val="24"/>
          <w:szCs w:val="24"/>
        </w:rPr>
        <w:t>poderá a Administração optar pela extinção do contrato e, nesse caso, adotará as medidas admitidas em lei para a continuidade da execução contratual.</w:t>
      </w:r>
    </w:p>
    <w:p w14:paraId="3DA4F7AD" w14:textId="77777777" w:rsidR="00381F54" w:rsidRPr="006727B9" w:rsidRDefault="00381F54">
      <w:pPr>
        <w:pStyle w:val="PargrafodaLista"/>
        <w:spacing w:line="312" w:lineRule="auto"/>
        <w:ind w:left="567"/>
        <w:rPr>
          <w:rFonts w:ascii="Garamond" w:eastAsia="Arial" w:hAnsi="Garamond" w:cs="Times New Roman"/>
          <w:i/>
          <w:iCs/>
          <w:color w:val="FF0000"/>
          <w:sz w:val="24"/>
          <w:szCs w:val="24"/>
        </w:rPr>
      </w:pPr>
    </w:p>
    <w:tbl>
      <w:tblPr>
        <w:tblStyle w:val="Tabelacomgrade"/>
        <w:tblW w:w="0" w:type="auto"/>
        <w:tblInd w:w="360" w:type="dxa"/>
        <w:tblLook w:val="04A0" w:firstRow="1" w:lastRow="0" w:firstColumn="1" w:lastColumn="0" w:noHBand="0" w:noVBand="1"/>
      </w:tblPr>
      <w:tblGrid>
        <w:gridCol w:w="1113"/>
        <w:gridCol w:w="7587"/>
      </w:tblGrid>
      <w:tr w:rsidR="00381F54" w:rsidRPr="006727B9" w14:paraId="32069FAE" w14:textId="77777777">
        <w:trPr>
          <w:trHeight w:val="385"/>
        </w:trPr>
        <w:tc>
          <w:tcPr>
            <w:tcW w:w="9832" w:type="dxa"/>
            <w:gridSpan w:val="2"/>
          </w:tcPr>
          <w:p w14:paraId="7CBE77CB"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1DA7C676" w14:textId="77777777">
        <w:tc>
          <w:tcPr>
            <w:tcW w:w="1195" w:type="dxa"/>
          </w:tcPr>
          <w:p w14:paraId="4328B6A5"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12.1</w:t>
            </w:r>
          </w:p>
        </w:tc>
        <w:tc>
          <w:tcPr>
            <w:tcW w:w="8637" w:type="dxa"/>
          </w:tcPr>
          <w:p w14:paraId="0BF3A904" w14:textId="77777777" w:rsidR="00381F54" w:rsidRPr="006727B9" w:rsidRDefault="00000000">
            <w:pPr>
              <w:pStyle w:val="pf0"/>
              <w:jc w:val="both"/>
              <w:rPr>
                <w:rFonts w:ascii="Garamond" w:hAnsi="Garamond"/>
                <w:i/>
                <w:iCs/>
              </w:rPr>
            </w:pPr>
            <w:r w:rsidRPr="006727B9">
              <w:rPr>
                <w:rStyle w:val="cf01"/>
                <w:rFonts w:ascii="Garamond" w:hAnsi="Garamond" w:cs="Times New Roman"/>
                <w:sz w:val="24"/>
                <w:szCs w:val="24"/>
              </w:rPr>
              <w:t xml:space="preserve">Use a redação dos itens 12.1, 12.2, 12.2.1 para os contratos por escopo (o objeto é contratado para ser prestado em determinado prazo). Ex. Compra pontual de sofás, aquisição e instalação de servidores. </w:t>
            </w:r>
          </w:p>
        </w:tc>
      </w:tr>
    </w:tbl>
    <w:p w14:paraId="487565B3" w14:textId="77777777" w:rsidR="00381F54" w:rsidRPr="006727B9" w:rsidRDefault="00381F54">
      <w:pPr>
        <w:pStyle w:val="PargrafodaLista"/>
        <w:spacing w:line="312" w:lineRule="auto"/>
        <w:ind w:left="567"/>
        <w:rPr>
          <w:rFonts w:ascii="Garamond" w:eastAsia="Arial" w:hAnsi="Garamond" w:cs="Times New Roman"/>
          <w:i/>
          <w:iCs/>
          <w:color w:val="FF0000"/>
          <w:sz w:val="24"/>
          <w:szCs w:val="24"/>
        </w:rPr>
      </w:pPr>
    </w:p>
    <w:p w14:paraId="5ACB4CC8" w14:textId="77777777" w:rsidR="00381F54" w:rsidRPr="006727B9" w:rsidRDefault="00000000">
      <w:pPr>
        <w:pStyle w:val="ou"/>
        <w:spacing w:before="120" w:after="288" w:line="312" w:lineRule="auto"/>
        <w:ind w:firstLine="567"/>
        <w:rPr>
          <w:rFonts w:ascii="Garamond" w:hAnsi="Garamond" w:cs="Times New Roman"/>
        </w:rPr>
      </w:pPr>
      <w:r w:rsidRPr="006727B9">
        <w:rPr>
          <w:rFonts w:ascii="Garamond" w:hAnsi="Garamond" w:cs="Times New Roman"/>
        </w:rPr>
        <w:t>OU</w:t>
      </w:r>
    </w:p>
    <w:p w14:paraId="444D7CCE"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 xml:space="preserve">O contrato </w:t>
      </w:r>
      <w:r w:rsidRPr="006727B9">
        <w:rPr>
          <w:rFonts w:ascii="Garamond" w:hAnsi="Garamond" w:cs="Times New Roman"/>
          <w:sz w:val="24"/>
          <w:szCs w:val="24"/>
          <w:highlight w:val="yellow"/>
        </w:rPr>
        <w:t>será extinto</w:t>
      </w:r>
      <w:r w:rsidRPr="006727B9">
        <w:rPr>
          <w:rFonts w:ascii="Garamond" w:hAnsi="Garamond" w:cs="Times New Roman"/>
          <w:i w:val="0"/>
          <w:sz w:val="24"/>
          <w:szCs w:val="24"/>
        </w:rPr>
        <w:t xml:space="preserve"> </w:t>
      </w:r>
      <w:r w:rsidRPr="006727B9">
        <w:rPr>
          <w:rFonts w:ascii="Garamond" w:hAnsi="Garamond" w:cs="Times New Roman"/>
          <w:sz w:val="24"/>
          <w:szCs w:val="24"/>
        </w:rPr>
        <w:t>quando vencido o prazo nele estipulado, independentemente de terem sido cumpridas ou não as obrigações de ambas as partes contraentes.</w:t>
      </w:r>
    </w:p>
    <w:tbl>
      <w:tblPr>
        <w:tblStyle w:val="Tabelacomgrade"/>
        <w:tblW w:w="0" w:type="auto"/>
        <w:tblInd w:w="360" w:type="dxa"/>
        <w:tblLook w:val="04A0" w:firstRow="1" w:lastRow="0" w:firstColumn="1" w:lastColumn="0" w:noHBand="0" w:noVBand="1"/>
      </w:tblPr>
      <w:tblGrid>
        <w:gridCol w:w="1114"/>
        <w:gridCol w:w="7586"/>
      </w:tblGrid>
      <w:tr w:rsidR="00381F54" w:rsidRPr="006727B9" w14:paraId="537E12B4" w14:textId="77777777">
        <w:trPr>
          <w:trHeight w:val="385"/>
        </w:trPr>
        <w:tc>
          <w:tcPr>
            <w:tcW w:w="9832" w:type="dxa"/>
            <w:gridSpan w:val="2"/>
          </w:tcPr>
          <w:p w14:paraId="6BB9D71B"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53CE6FB5" w14:textId="77777777">
        <w:tc>
          <w:tcPr>
            <w:tcW w:w="1195" w:type="dxa"/>
          </w:tcPr>
          <w:p w14:paraId="26A072D0"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12.3</w:t>
            </w:r>
          </w:p>
        </w:tc>
        <w:tc>
          <w:tcPr>
            <w:tcW w:w="8637" w:type="dxa"/>
          </w:tcPr>
          <w:p w14:paraId="74614CDB" w14:textId="77777777" w:rsidR="00381F54" w:rsidRPr="006727B9" w:rsidRDefault="00000000">
            <w:pPr>
              <w:pStyle w:val="pf0"/>
              <w:jc w:val="both"/>
              <w:rPr>
                <w:rFonts w:ascii="Garamond" w:hAnsi="Garamond"/>
                <w:i/>
                <w:iCs/>
              </w:rPr>
            </w:pPr>
            <w:r w:rsidRPr="006727B9">
              <w:rPr>
                <w:rStyle w:val="cf01"/>
                <w:rFonts w:ascii="Garamond" w:hAnsi="Garamond" w:cs="Times New Roman"/>
                <w:sz w:val="24"/>
                <w:szCs w:val="24"/>
              </w:rPr>
              <w:t>Use a redação dos itens 12.3, 12.3.1, 12.3.2, 12.3.3 para os contratos de fornecimentos contínuos e de aluguel de equipamentos e à utilização de programas de informática (art. 106, da Lei n.º 14.133, de 2021).</w:t>
            </w:r>
          </w:p>
        </w:tc>
      </w:tr>
    </w:tbl>
    <w:p w14:paraId="31A0603A" w14:textId="77777777" w:rsidR="00381F54" w:rsidRPr="006727B9" w:rsidRDefault="00381F54">
      <w:pPr>
        <w:pStyle w:val="Nvel2-Red"/>
        <w:numPr>
          <w:ilvl w:val="0"/>
          <w:numId w:val="0"/>
        </w:numPr>
        <w:rPr>
          <w:rFonts w:ascii="Garamond" w:hAnsi="Garamond" w:cs="Times New Roman"/>
          <w:sz w:val="24"/>
          <w:szCs w:val="24"/>
        </w:rPr>
      </w:pPr>
    </w:p>
    <w:p w14:paraId="70985301"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 xml:space="preserve">O contrato </w:t>
      </w:r>
      <w:r w:rsidRPr="006727B9">
        <w:rPr>
          <w:rFonts w:ascii="Garamond" w:hAnsi="Garamond" w:cs="Times New Roman"/>
          <w:sz w:val="24"/>
          <w:szCs w:val="24"/>
          <w:highlight w:val="yellow"/>
        </w:rPr>
        <w:t>poderá</w:t>
      </w:r>
      <w:r w:rsidRPr="006727B9">
        <w:rPr>
          <w:rFonts w:ascii="Garamond" w:hAnsi="Garamond" w:cs="Times New Roman"/>
          <w:sz w:val="24"/>
          <w:szCs w:val="24"/>
        </w:rPr>
        <w:t xml:space="preserve"> ser extinto antes do prazo nele fixado, sem ônus para o Contratante, quando este não dispuser de créditos orçamentários para sua continuidade ou quando entender que o contrato não mais lhe oferece vantagem.</w:t>
      </w:r>
    </w:p>
    <w:p w14:paraId="1EB54793"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2B878FC5" w14:textId="77777777" w:rsidR="00381F54" w:rsidRPr="006727B9" w:rsidRDefault="00000000">
      <w:pPr>
        <w:pStyle w:val="Nvel3-R"/>
        <w:rPr>
          <w:rFonts w:ascii="Garamond" w:hAnsi="Garamond" w:cs="Times New Roman"/>
          <w:sz w:val="24"/>
          <w:szCs w:val="24"/>
        </w:rPr>
      </w:pPr>
      <w:r w:rsidRPr="006727B9">
        <w:rPr>
          <w:rFonts w:ascii="Garamond" w:hAnsi="Garamond" w:cs="Times New Roman"/>
          <w:sz w:val="24"/>
          <w:szCs w:val="24"/>
        </w:rPr>
        <w:lastRenderedPageBreak/>
        <w:t>Caso a notificação da não-continuidade do contrato de que trata este subitem ocorra com menos de 2 (dois) meses da data de aniversário, a extinção contratual ocorrerá após 2 (dois) meses da data da comunicação.</w:t>
      </w:r>
    </w:p>
    <w:tbl>
      <w:tblPr>
        <w:tblStyle w:val="Tabelacomgrade"/>
        <w:tblW w:w="0" w:type="auto"/>
        <w:tblInd w:w="360" w:type="dxa"/>
        <w:tblLook w:val="04A0" w:firstRow="1" w:lastRow="0" w:firstColumn="1" w:lastColumn="0" w:noHBand="0" w:noVBand="1"/>
      </w:tblPr>
      <w:tblGrid>
        <w:gridCol w:w="1134"/>
        <w:gridCol w:w="7566"/>
      </w:tblGrid>
      <w:tr w:rsidR="00381F54" w:rsidRPr="006727B9" w14:paraId="3541611A" w14:textId="77777777">
        <w:trPr>
          <w:trHeight w:val="385"/>
        </w:trPr>
        <w:tc>
          <w:tcPr>
            <w:tcW w:w="9832" w:type="dxa"/>
            <w:gridSpan w:val="2"/>
          </w:tcPr>
          <w:p w14:paraId="0AA34958"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2688BA5F" w14:textId="77777777">
        <w:tc>
          <w:tcPr>
            <w:tcW w:w="1195" w:type="dxa"/>
          </w:tcPr>
          <w:p w14:paraId="2836FBC3"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12.3.3</w:t>
            </w:r>
          </w:p>
        </w:tc>
        <w:tc>
          <w:tcPr>
            <w:tcW w:w="8637" w:type="dxa"/>
          </w:tcPr>
          <w:p w14:paraId="60652F18" w14:textId="77777777" w:rsidR="00381F54" w:rsidRPr="006727B9" w:rsidRDefault="00000000">
            <w:pPr>
              <w:pStyle w:val="pf0"/>
              <w:jc w:val="both"/>
              <w:rPr>
                <w:rFonts w:ascii="Garamond" w:hAnsi="Garamond"/>
              </w:rPr>
            </w:pPr>
            <w:r w:rsidRPr="006727B9">
              <w:rPr>
                <w:rStyle w:val="cf01"/>
                <w:rFonts w:ascii="Garamond" w:eastAsiaTheme="minorEastAsia" w:hAnsi="Garamond" w:cs="Times New Roman"/>
                <w:sz w:val="24"/>
                <w:szCs w:val="24"/>
              </w:rPr>
              <w:t xml:space="preserve">A sistemática dos itens 12.3.2 e 12.3.3 decorre do que dispõe o art. 106, III e §1º, da Lei nº 14.133/21. Para a sua compreensão, vale trazer um exemplo: </w:t>
            </w:r>
          </w:p>
          <w:p w14:paraId="24CCA1F5" w14:textId="77777777" w:rsidR="00381F54" w:rsidRPr="006727B9" w:rsidRDefault="00000000">
            <w:pPr>
              <w:pStyle w:val="pf0"/>
              <w:jc w:val="both"/>
              <w:rPr>
                <w:rFonts w:ascii="Garamond" w:hAnsi="Garamond"/>
              </w:rPr>
            </w:pPr>
            <w:r w:rsidRPr="006727B9">
              <w:rPr>
                <w:rStyle w:val="cf01"/>
                <w:rFonts w:ascii="Garamond" w:eastAsiaTheme="minorEastAsia" w:hAnsi="Garamond" w:cs="Times New Roman"/>
                <w:sz w:val="24"/>
                <w:szCs w:val="24"/>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96DFF9B" w14:textId="77777777" w:rsidR="00381F54" w:rsidRPr="006727B9" w:rsidRDefault="00000000">
            <w:pPr>
              <w:pStyle w:val="pf0"/>
              <w:jc w:val="both"/>
              <w:rPr>
                <w:rFonts w:ascii="Garamond" w:hAnsi="Garamond"/>
              </w:rPr>
            </w:pPr>
            <w:r w:rsidRPr="006727B9">
              <w:rPr>
                <w:rStyle w:val="cf01"/>
                <w:rFonts w:ascii="Garamond" w:eastAsiaTheme="minorEastAsia" w:hAnsi="Garamond" w:cs="Times New Roman"/>
                <w:sz w:val="24"/>
                <w:szCs w:val="24"/>
              </w:rPr>
              <w:t xml:space="preserve">1) Se a comunicação ao contratado noticiando a rescisão ocorrer até 20 de março (dois meses antes da data de aniversário), a extinção poderá ocorrer na data de aniversário, ou seja, 20 de maio. </w:t>
            </w:r>
          </w:p>
          <w:p w14:paraId="6BF3C1B6" w14:textId="77777777" w:rsidR="00381F54" w:rsidRPr="006727B9" w:rsidRDefault="00000000">
            <w:pPr>
              <w:pStyle w:val="pf0"/>
              <w:jc w:val="both"/>
              <w:rPr>
                <w:rFonts w:ascii="Garamond" w:hAnsi="Garamond"/>
              </w:rPr>
            </w:pPr>
            <w:r w:rsidRPr="006727B9">
              <w:rPr>
                <w:rStyle w:val="cf01"/>
                <w:rFonts w:ascii="Garamond" w:eastAsiaTheme="minorEastAsia" w:hAnsi="Garamond" w:cs="Times New Roman"/>
                <w:sz w:val="24"/>
                <w:szCs w:val="24"/>
              </w:rPr>
              <w:t xml:space="preserve">2) Se a comunicação se der entre 20 de março e 20 de maio (menos de dois meses), fica garantida a vigência contratual por mais dois meses (portanto, por exemplo, se a notificação for em 20 de abril, a extinção seria em 20 de junho). </w:t>
            </w:r>
          </w:p>
          <w:p w14:paraId="015B4C3F" w14:textId="77777777" w:rsidR="00381F54" w:rsidRPr="006727B9" w:rsidRDefault="00000000">
            <w:pPr>
              <w:pStyle w:val="pf0"/>
              <w:jc w:val="both"/>
              <w:rPr>
                <w:rFonts w:ascii="Garamond" w:hAnsi="Garamond"/>
                <w:i/>
                <w:iCs/>
              </w:rPr>
            </w:pPr>
            <w:r w:rsidRPr="006727B9">
              <w:rPr>
                <w:rStyle w:val="cf01"/>
                <w:rFonts w:ascii="Garamond" w:eastAsiaTheme="minorEastAsia" w:hAnsi="Garamond" w:cs="Times New Roman"/>
                <w:sz w:val="24"/>
                <w:szCs w:val="24"/>
              </w:rPr>
              <w:t>3) Por fim, uma comunicação de extinção havida após a data de aniversário só teria efeito no aniversário subsequente, salvo se houver enquadramento na situação “2”.</w:t>
            </w:r>
          </w:p>
        </w:tc>
      </w:tr>
    </w:tbl>
    <w:p w14:paraId="66628BCD" w14:textId="77777777" w:rsidR="00381F54" w:rsidRPr="006727B9" w:rsidRDefault="00381F54">
      <w:pPr>
        <w:pStyle w:val="Nvel3-R"/>
        <w:numPr>
          <w:ilvl w:val="0"/>
          <w:numId w:val="0"/>
        </w:numPr>
        <w:ind w:left="284"/>
        <w:rPr>
          <w:rFonts w:ascii="Garamond" w:hAnsi="Garamond" w:cs="Times New Roman"/>
          <w:sz w:val="24"/>
          <w:szCs w:val="24"/>
        </w:rPr>
      </w:pPr>
    </w:p>
    <w:p w14:paraId="6D9A3324"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O contrato poderá ser extinto antes de cumpridas as obrigações nele estipuladas, ou antes do prazo nele fixado, por algum dos motivos previstos no </w:t>
      </w:r>
      <w:hyperlink r:id="rId36" w:anchor="art137" w:tooltip="http://www.planalto.gov.br/ccivil_03/_ato2019-2022/2021/lei/L14133.htm#art137" w:history="1">
        <w:r w:rsidR="00381F54" w:rsidRPr="006727B9">
          <w:rPr>
            <w:rStyle w:val="Hyperlink"/>
            <w:rFonts w:ascii="Garamond" w:hAnsi="Garamond" w:cs="Times New Roman"/>
            <w:sz w:val="24"/>
            <w:szCs w:val="24"/>
          </w:rPr>
          <w:t>artigo 137 da Lei nº 14.133/21</w:t>
        </w:r>
      </w:hyperlink>
      <w:r w:rsidRPr="006727B9">
        <w:rPr>
          <w:rFonts w:ascii="Garamond" w:hAnsi="Garamond" w:cs="Times New Roman"/>
          <w:sz w:val="24"/>
          <w:szCs w:val="24"/>
        </w:rPr>
        <w:t xml:space="preserve">, bem como amigavelmente, </w:t>
      </w:r>
      <w:r w:rsidRPr="006727B9">
        <w:rPr>
          <w:rFonts w:ascii="Garamond" w:hAnsi="Garamond" w:cs="Times New Roman"/>
          <w:color w:val="000000" w:themeColor="text1"/>
          <w:sz w:val="24"/>
          <w:szCs w:val="24"/>
        </w:rPr>
        <w:t>assegurados o contraditório e a ampla defesa</w:t>
      </w:r>
      <w:r w:rsidRPr="006727B9">
        <w:rPr>
          <w:rFonts w:ascii="Garamond" w:hAnsi="Garamond" w:cs="Times New Roman"/>
          <w:sz w:val="24"/>
          <w:szCs w:val="24"/>
        </w:rPr>
        <w:t>.</w:t>
      </w:r>
    </w:p>
    <w:p w14:paraId="4FA8D161"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 xml:space="preserve">Nesta hipótese, aplicam-se também os </w:t>
      </w:r>
      <w:hyperlink r:id="rId37" w:anchor="art138" w:tooltip="http://www.planalto.gov.br/ccivil_03/_ato2019-2022/2021/lei/L14133.htm#art138" w:history="1">
        <w:r w:rsidR="00381F54" w:rsidRPr="006727B9">
          <w:rPr>
            <w:rStyle w:val="Hyperlink"/>
            <w:rFonts w:ascii="Garamond" w:hAnsi="Garamond" w:cs="Times New Roman"/>
            <w:sz w:val="24"/>
            <w:szCs w:val="24"/>
          </w:rPr>
          <w:t>artigos 138 e 139 da mesma Lei</w:t>
        </w:r>
      </w:hyperlink>
      <w:r w:rsidRPr="006727B9">
        <w:rPr>
          <w:rFonts w:ascii="Garamond" w:hAnsi="Garamond" w:cs="Times New Roman"/>
          <w:sz w:val="24"/>
          <w:szCs w:val="24"/>
        </w:rPr>
        <w:t>.</w:t>
      </w:r>
    </w:p>
    <w:p w14:paraId="1A756642"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A alteração social ou a modificação da finalidade ou da estrutura da empresa não ensejará a extinção se não restringir sua capacidade de concluir o contrato.</w:t>
      </w:r>
    </w:p>
    <w:p w14:paraId="24E0BAA9" w14:textId="77777777" w:rsidR="00381F54" w:rsidRPr="006727B9" w:rsidRDefault="00000000">
      <w:pPr>
        <w:pStyle w:val="Nivel4"/>
        <w:rPr>
          <w:rFonts w:ascii="Garamond" w:hAnsi="Garamond" w:cs="Times New Roman"/>
          <w:sz w:val="24"/>
          <w:szCs w:val="24"/>
        </w:rPr>
      </w:pPr>
      <w:r w:rsidRPr="006727B9">
        <w:rPr>
          <w:rFonts w:ascii="Garamond" w:hAnsi="Garamond" w:cs="Times New Roman"/>
          <w:color w:val="000000" w:themeColor="text1"/>
          <w:sz w:val="24"/>
          <w:szCs w:val="24"/>
        </w:rPr>
        <w:t xml:space="preserve">Se a </w:t>
      </w:r>
      <w:r w:rsidRPr="006727B9">
        <w:rPr>
          <w:rFonts w:ascii="Garamond" w:hAnsi="Garamond" w:cs="Times New Roman"/>
          <w:sz w:val="24"/>
          <w:szCs w:val="24"/>
        </w:rPr>
        <w:t>operação</w:t>
      </w:r>
      <w:r w:rsidRPr="006727B9">
        <w:rPr>
          <w:rFonts w:ascii="Garamond" w:hAnsi="Garamond" w:cs="Times New Roman"/>
          <w:color w:val="000000" w:themeColor="text1"/>
          <w:sz w:val="24"/>
          <w:szCs w:val="24"/>
        </w:rPr>
        <w:t xml:space="preserve"> </w:t>
      </w:r>
      <w:r w:rsidRPr="006727B9">
        <w:rPr>
          <w:rFonts w:ascii="Garamond" w:hAnsi="Garamond" w:cs="Times New Roman"/>
          <w:sz w:val="24"/>
          <w:szCs w:val="24"/>
        </w:rPr>
        <w:t>implicar mudança da pessoa jurídica contratada, deverá ser formalizado termo aditivo para alteração subjetiva.</w:t>
      </w:r>
    </w:p>
    <w:p w14:paraId="5C65A036"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O termo de extinção, sempre que possível, será precedido:</w:t>
      </w:r>
    </w:p>
    <w:p w14:paraId="41C02803"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Balanço dos eventos contratuais já cumpridos ou parcialmente cumpridos;</w:t>
      </w:r>
    </w:p>
    <w:p w14:paraId="03CBC041"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Relação dos pagamentos já efetuados e ainda devidos;</w:t>
      </w:r>
    </w:p>
    <w:p w14:paraId="3A9B23D4"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Indenizações e multas.</w:t>
      </w:r>
    </w:p>
    <w:p w14:paraId="6CBA47EA"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A extinção do contrato não configura óbice para o reconhecimento do desequilíbrio econômico-financeiro, hipótese em que será concedida indenização por meio de termo indenizatório (</w:t>
      </w:r>
      <w:hyperlink r:id="rId38" w:anchor="art131" w:tooltip="http://www.planalto.gov.br/ccivil_03/_ato2019-2022/2021/lei/L14133.htm#art131" w:history="1">
        <w:r w:rsidR="00381F54" w:rsidRPr="006727B9">
          <w:rPr>
            <w:rStyle w:val="Hyperlink"/>
            <w:rFonts w:ascii="Garamond" w:hAnsi="Garamond" w:cs="Times New Roman"/>
            <w:sz w:val="24"/>
            <w:szCs w:val="24"/>
          </w:rPr>
          <w:t xml:space="preserve">art. 131, </w:t>
        </w:r>
        <w:r w:rsidR="00381F54" w:rsidRPr="006727B9">
          <w:rPr>
            <w:rStyle w:val="Hyperlink"/>
            <w:rFonts w:ascii="Garamond" w:hAnsi="Garamond" w:cs="Times New Roman"/>
            <w:i/>
            <w:iCs/>
            <w:sz w:val="24"/>
            <w:szCs w:val="24"/>
          </w:rPr>
          <w:t xml:space="preserve">caput, </w:t>
        </w:r>
        <w:r w:rsidR="00381F54" w:rsidRPr="006727B9">
          <w:rPr>
            <w:rStyle w:val="Hyperlink"/>
            <w:rFonts w:ascii="Garamond" w:hAnsi="Garamond" w:cs="Times New Roman"/>
            <w:sz w:val="24"/>
            <w:szCs w:val="24"/>
          </w:rPr>
          <w:t>da Lei n.º 14.133, de 2021</w:t>
        </w:r>
      </w:hyperlink>
      <w:r w:rsidRPr="006727B9">
        <w:rPr>
          <w:rFonts w:ascii="Garamond" w:hAnsi="Garamond" w:cs="Times New Roman"/>
          <w:sz w:val="24"/>
          <w:szCs w:val="24"/>
        </w:rPr>
        <w:t xml:space="preserve">). </w:t>
      </w:r>
    </w:p>
    <w:p w14:paraId="4165DC49"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BC0B528"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DÉCIMA TERCEIRA – DOTAÇÃO ORÇAMENTÁRIA (</w:t>
      </w:r>
      <w:hyperlink r:id="rId39" w:anchor="art92" w:tooltip="http://www.planalto.gov.br/ccivil_03/_ato2019-2022/2021/lei/L14133.htm#art92" w:history="1">
        <w:r w:rsidR="00381F54" w:rsidRPr="006727B9">
          <w:rPr>
            <w:rStyle w:val="Hyperlink"/>
            <w:rFonts w:ascii="Garamond" w:hAnsi="Garamond" w:cs="Times New Roman"/>
            <w:sz w:val="24"/>
            <w:szCs w:val="24"/>
          </w:rPr>
          <w:t>art. 92, VIII</w:t>
        </w:r>
      </w:hyperlink>
      <w:r w:rsidRPr="006727B9">
        <w:rPr>
          <w:rFonts w:ascii="Garamond" w:hAnsi="Garamond" w:cs="Times New Roman"/>
          <w:sz w:val="24"/>
          <w:szCs w:val="24"/>
        </w:rPr>
        <w:t>)</w:t>
      </w:r>
    </w:p>
    <w:p w14:paraId="2AF2BB2A"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As despesas decorrentes da presente contratação correrão à conta de recursos específicos consignados no Orçamento Geral da União deste exercício, na dotação abaixo discriminada:</w:t>
      </w:r>
    </w:p>
    <w:p w14:paraId="3D030902"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 xml:space="preserve">Fonte de Recursos:  </w:t>
      </w:r>
    </w:p>
    <w:p w14:paraId="387D67E5"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 xml:space="preserve">Programa de Trabalho: </w:t>
      </w:r>
    </w:p>
    <w:p w14:paraId="3E0791AF"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 xml:space="preserve">Elemento de Despesa: </w:t>
      </w:r>
    </w:p>
    <w:p w14:paraId="436CCA14" w14:textId="77777777" w:rsidR="00381F54" w:rsidRPr="006727B9" w:rsidRDefault="00000000">
      <w:pPr>
        <w:pStyle w:val="Nivel3"/>
        <w:rPr>
          <w:rFonts w:ascii="Garamond" w:hAnsi="Garamond" w:cs="Times New Roman"/>
          <w:sz w:val="24"/>
          <w:szCs w:val="24"/>
        </w:rPr>
      </w:pPr>
      <w:r w:rsidRPr="006727B9">
        <w:rPr>
          <w:rFonts w:ascii="Garamond" w:hAnsi="Garamond" w:cs="Times New Roman"/>
          <w:sz w:val="24"/>
          <w:szCs w:val="24"/>
        </w:rPr>
        <w:t>Nota de Empenho:</w:t>
      </w:r>
    </w:p>
    <w:p w14:paraId="3F91437F" w14:textId="77777777" w:rsidR="00381F54" w:rsidRPr="006727B9" w:rsidRDefault="00000000">
      <w:pPr>
        <w:pStyle w:val="Nvel2-Red"/>
        <w:rPr>
          <w:rFonts w:ascii="Garamond" w:hAnsi="Garamond" w:cs="Times New Roman"/>
          <w:sz w:val="24"/>
          <w:szCs w:val="24"/>
        </w:rPr>
      </w:pPr>
      <w:r w:rsidRPr="006727B9">
        <w:rPr>
          <w:rFonts w:ascii="Garamond" w:hAnsi="Garamond" w:cs="Times New Roman"/>
          <w:sz w:val="24"/>
          <w:szCs w:val="24"/>
        </w:rPr>
        <w:t>A dotação relativa aos exercícios financeiros subsequentes será indicada após aprovação da Lei Orçamentária respectiva e liberação dos créditos correspondentes, mediante apostilamento.</w:t>
      </w:r>
    </w:p>
    <w:tbl>
      <w:tblPr>
        <w:tblStyle w:val="Tabelacomgrade"/>
        <w:tblW w:w="0" w:type="auto"/>
        <w:tblInd w:w="360" w:type="dxa"/>
        <w:tblLook w:val="04A0" w:firstRow="1" w:lastRow="0" w:firstColumn="1" w:lastColumn="0" w:noHBand="0" w:noVBand="1"/>
      </w:tblPr>
      <w:tblGrid>
        <w:gridCol w:w="1114"/>
        <w:gridCol w:w="7586"/>
      </w:tblGrid>
      <w:tr w:rsidR="00381F54" w:rsidRPr="006727B9" w14:paraId="567237D4" w14:textId="77777777">
        <w:trPr>
          <w:trHeight w:val="385"/>
        </w:trPr>
        <w:tc>
          <w:tcPr>
            <w:tcW w:w="9832" w:type="dxa"/>
            <w:gridSpan w:val="2"/>
          </w:tcPr>
          <w:p w14:paraId="42D73DFF"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124EC69A" w14:textId="77777777">
        <w:tc>
          <w:tcPr>
            <w:tcW w:w="1195" w:type="dxa"/>
          </w:tcPr>
          <w:p w14:paraId="76D491D6"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13.2</w:t>
            </w:r>
          </w:p>
        </w:tc>
        <w:tc>
          <w:tcPr>
            <w:tcW w:w="8637" w:type="dxa"/>
          </w:tcPr>
          <w:p w14:paraId="53EBA611" w14:textId="77777777" w:rsidR="00381F54" w:rsidRPr="006727B9" w:rsidRDefault="00000000">
            <w:pPr>
              <w:pStyle w:val="pf0"/>
              <w:jc w:val="both"/>
              <w:rPr>
                <w:rFonts w:ascii="Garamond" w:hAnsi="Garamond"/>
                <w:i/>
                <w:iCs/>
              </w:rPr>
            </w:pPr>
            <w:r w:rsidRPr="006727B9">
              <w:rPr>
                <w:rStyle w:val="cf01"/>
                <w:rFonts w:ascii="Garamond" w:hAnsi="Garamond" w:cs="Times New Roman"/>
                <w:sz w:val="24"/>
                <w:szCs w:val="24"/>
              </w:rPr>
              <w:t>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tc>
      </w:tr>
    </w:tbl>
    <w:p w14:paraId="7325AF0D" w14:textId="77777777" w:rsidR="00381F54" w:rsidRPr="006727B9" w:rsidRDefault="00381F54">
      <w:pPr>
        <w:pStyle w:val="Nvel2-Red"/>
        <w:numPr>
          <w:ilvl w:val="0"/>
          <w:numId w:val="0"/>
        </w:numPr>
        <w:rPr>
          <w:rFonts w:ascii="Garamond" w:hAnsi="Garamond" w:cs="Times New Roman"/>
          <w:sz w:val="24"/>
          <w:szCs w:val="24"/>
        </w:rPr>
      </w:pPr>
    </w:p>
    <w:p w14:paraId="07B96CE7"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DÉCIMA QUARTA – DOS CASOS OMISSOS (</w:t>
      </w:r>
      <w:hyperlink r:id="rId40" w:anchor="art92" w:tooltip="http://www.planalto.gov.br/ccivil_03/_ato2019-2022/2021/lei/L14133.htm#art92" w:history="1">
        <w:r w:rsidR="00381F54" w:rsidRPr="006727B9">
          <w:rPr>
            <w:rStyle w:val="Hyperlink"/>
            <w:rFonts w:ascii="Garamond" w:hAnsi="Garamond" w:cs="Times New Roman"/>
            <w:sz w:val="24"/>
            <w:szCs w:val="24"/>
          </w:rPr>
          <w:t>art. 92, III</w:t>
        </w:r>
      </w:hyperlink>
      <w:r w:rsidRPr="006727B9">
        <w:rPr>
          <w:rFonts w:ascii="Garamond" w:hAnsi="Garamond" w:cs="Times New Roman"/>
          <w:sz w:val="24"/>
          <w:szCs w:val="24"/>
        </w:rPr>
        <w:t>)</w:t>
      </w:r>
    </w:p>
    <w:p w14:paraId="6F939209"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B566559"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DÉCIMA QUINTA – ALTERAÇÕES</w:t>
      </w:r>
    </w:p>
    <w:p w14:paraId="0C7AC766"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Eventuais alterações contratuais reger-se-ão pela disciplina dos </w:t>
      </w:r>
      <w:proofErr w:type="spellStart"/>
      <w:r w:rsidRPr="006727B9">
        <w:rPr>
          <w:rFonts w:ascii="Garamond" w:hAnsi="Garamond" w:cs="Times New Roman"/>
          <w:sz w:val="24"/>
          <w:szCs w:val="24"/>
        </w:rPr>
        <w:t>arts</w:t>
      </w:r>
      <w:proofErr w:type="spellEnd"/>
      <w:r w:rsidRPr="006727B9">
        <w:rPr>
          <w:rFonts w:ascii="Garamond" w:hAnsi="Garamond" w:cs="Times New Roman"/>
          <w:sz w:val="24"/>
          <w:szCs w:val="24"/>
        </w:rPr>
        <w:t>. 124 e seguintes da Lei nº 14.133, de 2021.</w:t>
      </w:r>
    </w:p>
    <w:p w14:paraId="5D405325"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07C28A09"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As alterações contratuais deverão ser promovidas mediante celebração de termo aditivo, submetido à prévia aprovação da consultoria jurídica do contratante, salvo nos casos de justificada </w:t>
      </w:r>
      <w:r w:rsidRPr="006727B9">
        <w:rPr>
          <w:rFonts w:ascii="Garamond" w:hAnsi="Garamond" w:cs="Times New Roman"/>
          <w:sz w:val="24"/>
          <w:szCs w:val="24"/>
        </w:rPr>
        <w:lastRenderedPageBreak/>
        <w:t>necessidade de antecipação de seus efeitos, hipótese em que a formalização do aditivo deverá ocorrer no prazo máximo de 1 (um) mês (art. 132 da Lei nº 14.133, de 2021).</w:t>
      </w:r>
    </w:p>
    <w:p w14:paraId="4D363BB5"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Registros que não caracterizam alteração do contrato podem ser realizados por simples apostila, dispensada a celebração de termo aditivo, na forma do art. 136 da Lei nº 14.133, de 2021.</w:t>
      </w:r>
    </w:p>
    <w:p w14:paraId="349D70B0"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DÉCIMA SEXTA – PUBLICAÇÃO</w:t>
      </w:r>
    </w:p>
    <w:p w14:paraId="16F8D2ED" w14:textId="77777777" w:rsidR="00381F54" w:rsidRPr="006727B9" w:rsidRDefault="00000000">
      <w:pPr>
        <w:pStyle w:val="Nivel2"/>
        <w:rPr>
          <w:rFonts w:ascii="Garamond" w:hAnsi="Garamond" w:cs="Times New Roman"/>
          <w:sz w:val="24"/>
          <w:szCs w:val="24"/>
        </w:rPr>
      </w:pPr>
      <w:r w:rsidRPr="006727B9">
        <w:rPr>
          <w:rFonts w:ascii="Garamond" w:hAnsi="Garamond" w:cs="Times New Roman"/>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w:t>
      </w:r>
      <w:r w:rsidRPr="006727B9">
        <w:rPr>
          <w:rFonts w:ascii="Garamond" w:hAnsi="Garamond" w:cs="Times New Roman"/>
          <w:i/>
          <w:sz w:val="24"/>
          <w:szCs w:val="24"/>
        </w:rPr>
        <w:t>caput,</w:t>
      </w:r>
      <w:r w:rsidRPr="006727B9">
        <w:rPr>
          <w:rFonts w:ascii="Garamond" w:hAnsi="Garamond" w:cs="Times New Roman"/>
          <w:sz w:val="24"/>
          <w:szCs w:val="24"/>
        </w:rPr>
        <w:t xml:space="preserve"> da Lei n.º 14.133, de 2021, e ao art. 8º, §2º, da Lei n. 12.527, de 2011 e publicar extrato da contratação no Diário Oficial do Município, em atenção ao art. 74, §1º do Decreto Municipal 14.730/2023.</w:t>
      </w:r>
    </w:p>
    <w:p w14:paraId="62C09068"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16.1.1 A divulgação do Contrato e de seus aditamentos no Portal Nacional de Contratações Públicas – PNCP, condição indispensável para sua eficácia, deverá ocorrer nos prazos estipulados pelo art. 94 da Lei nº 14.133/2021.</w:t>
      </w:r>
    </w:p>
    <w:p w14:paraId="1070DC79" w14:textId="77777777" w:rsidR="00381F54" w:rsidRPr="006727B9" w:rsidRDefault="00000000">
      <w:pPr>
        <w:pStyle w:val="Nivel2"/>
        <w:numPr>
          <w:ilvl w:val="0"/>
          <w:numId w:val="0"/>
        </w:numPr>
        <w:rPr>
          <w:rFonts w:ascii="Garamond" w:hAnsi="Garamond" w:cs="Times New Roman"/>
          <w:sz w:val="24"/>
          <w:szCs w:val="24"/>
        </w:rPr>
      </w:pPr>
      <w:r w:rsidRPr="006727B9">
        <w:rPr>
          <w:rFonts w:ascii="Garamond" w:hAnsi="Garamond" w:cs="Times New Roman"/>
          <w:sz w:val="24"/>
          <w:szCs w:val="24"/>
        </w:rPr>
        <w:t>16.2 O CONTRATANTE deverá adotar as providências necessárias para dar conhecimento da contratação, junto ao Tribunal de Contas do Estado.</w:t>
      </w:r>
    </w:p>
    <w:p w14:paraId="54C6B6A4" w14:textId="77777777" w:rsidR="00381F54" w:rsidRPr="006727B9" w:rsidRDefault="00000000">
      <w:pPr>
        <w:pStyle w:val="Nivel01"/>
        <w:rPr>
          <w:rFonts w:ascii="Garamond" w:hAnsi="Garamond" w:cs="Times New Roman"/>
          <w:color w:val="FFFFFF" w:themeColor="background1"/>
          <w:sz w:val="24"/>
          <w:szCs w:val="24"/>
        </w:rPr>
      </w:pPr>
      <w:r w:rsidRPr="006727B9">
        <w:rPr>
          <w:rFonts w:ascii="Garamond" w:hAnsi="Garamond" w:cs="Times New Roman"/>
          <w:sz w:val="24"/>
          <w:szCs w:val="24"/>
        </w:rPr>
        <w:t>CLÁUSULA DÉCIMA SÉTIMA– FORO (</w:t>
      </w:r>
      <w:hyperlink r:id="rId41" w:anchor="art92§1" w:tooltip="http://www.planalto.gov.br/ccivil_03/_ato2019-2022/2021/lei/L14133.htm#art92§1" w:history="1">
        <w:r w:rsidR="00381F54" w:rsidRPr="006727B9">
          <w:rPr>
            <w:rStyle w:val="Hyperlink"/>
            <w:rFonts w:ascii="Garamond" w:hAnsi="Garamond" w:cs="Times New Roman"/>
            <w:sz w:val="24"/>
            <w:szCs w:val="24"/>
          </w:rPr>
          <w:t>art. 92, §1º</w:t>
        </w:r>
      </w:hyperlink>
      <w:r w:rsidRPr="006727B9">
        <w:rPr>
          <w:rFonts w:ascii="Garamond" w:hAnsi="Garamond" w:cs="Times New Roman"/>
          <w:sz w:val="24"/>
          <w:szCs w:val="24"/>
        </w:rPr>
        <w:t>)</w:t>
      </w:r>
    </w:p>
    <w:p w14:paraId="6659A39E" w14:textId="77777777" w:rsidR="00381F54" w:rsidRPr="006727B9" w:rsidRDefault="00000000">
      <w:pPr>
        <w:pStyle w:val="Nivel2"/>
        <w:rPr>
          <w:rFonts w:ascii="Garamond" w:hAnsi="Garamond" w:cs="Times New Roman"/>
          <w:sz w:val="24"/>
          <w:szCs w:val="24"/>
        </w:rPr>
      </w:pPr>
      <w:r w:rsidRPr="006727B9">
        <w:rPr>
          <w:rFonts w:ascii="Garamond" w:hAnsi="Garamond" w:cs="Times New Roman"/>
          <w:color w:val="auto"/>
          <w:sz w:val="24"/>
          <w:szCs w:val="24"/>
          <w:lang w:eastAsia="en-US"/>
        </w:rPr>
        <w:t>Fica eleito o Foro da Comarca de Niterói</w:t>
      </w:r>
      <w:r w:rsidRPr="006727B9">
        <w:rPr>
          <w:rFonts w:ascii="Garamond" w:hAnsi="Garamond" w:cs="Times New Roman"/>
          <w:sz w:val="24"/>
          <w:szCs w:val="24"/>
        </w:rPr>
        <w:t xml:space="preserve"> para dirimir os litígios que decorrerem da execução deste Termo de Contrato que não puderem ser compostos de forma amigável, conforme art. 92, §1º, da Lei nº 14.133/21.</w:t>
      </w:r>
    </w:p>
    <w:p w14:paraId="17E6CFC6" w14:textId="77777777" w:rsidR="00381F54" w:rsidRPr="006727B9" w:rsidRDefault="00381F54">
      <w:pPr>
        <w:spacing w:line="288" w:lineRule="auto"/>
        <w:contextualSpacing/>
        <w:jc w:val="both"/>
        <w:rPr>
          <w:rFonts w:ascii="Garamond" w:hAnsi="Garamond"/>
          <w:sz w:val="24"/>
          <w:szCs w:val="24"/>
        </w:rPr>
      </w:pPr>
    </w:p>
    <w:p w14:paraId="0CBD9D93" w14:textId="77777777" w:rsidR="00381F54" w:rsidRPr="006727B9" w:rsidRDefault="00000000">
      <w:pPr>
        <w:spacing w:line="288" w:lineRule="auto"/>
        <w:contextualSpacing/>
        <w:jc w:val="both"/>
        <w:rPr>
          <w:rFonts w:ascii="Garamond" w:hAnsi="Garamond"/>
          <w:sz w:val="24"/>
          <w:szCs w:val="24"/>
          <w:lang w:eastAsia="pt-BR"/>
        </w:rPr>
      </w:pPr>
      <w:r w:rsidRPr="006727B9">
        <w:rPr>
          <w:rFonts w:ascii="Garamond" w:hAnsi="Garamond"/>
          <w:sz w:val="24"/>
          <w:szCs w:val="24"/>
        </w:rPr>
        <w:t xml:space="preserve">E, por estarem assim acordes em todas as condições e cláusulas estabelecidas neste Contrato, firmam as </w:t>
      </w:r>
      <w:r w:rsidRPr="006727B9">
        <w:rPr>
          <w:rFonts w:ascii="Garamond" w:eastAsia="Times New Roman" w:hAnsi="Garamond"/>
          <w:sz w:val="24"/>
          <w:szCs w:val="24"/>
          <w:lang w:eastAsia="pt-BR"/>
        </w:rPr>
        <w:t>partes</w:t>
      </w:r>
      <w:r w:rsidRPr="006727B9">
        <w:rPr>
          <w:rFonts w:ascii="Garamond" w:hAnsi="Garamond"/>
          <w:sz w:val="24"/>
          <w:szCs w:val="24"/>
        </w:rPr>
        <w:t xml:space="preserve"> o presente instrumento, depois de achado conforme, em presença das testemunhas abaixo firmadas.</w:t>
      </w:r>
    </w:p>
    <w:p w14:paraId="6152BE2F" w14:textId="77777777" w:rsidR="00381F54" w:rsidRPr="006727B9" w:rsidRDefault="00000000">
      <w:pPr>
        <w:pStyle w:val="Nivel2"/>
        <w:numPr>
          <w:ilvl w:val="0"/>
          <w:numId w:val="0"/>
        </w:numPr>
        <w:spacing w:after="288" w:line="312" w:lineRule="auto"/>
        <w:ind w:firstLine="567"/>
        <w:rPr>
          <w:rFonts w:ascii="Garamond" w:hAnsi="Garamond" w:cs="Times New Roman"/>
          <w:i/>
          <w:iCs/>
          <w:color w:val="auto"/>
          <w:sz w:val="24"/>
          <w:szCs w:val="24"/>
        </w:rPr>
      </w:pPr>
      <w:r w:rsidRPr="006727B9">
        <w:rPr>
          <w:rFonts w:ascii="Garamond" w:hAnsi="Garamond" w:cs="Times New Roman"/>
          <w:i/>
          <w:iCs/>
          <w:color w:val="FF0000"/>
          <w:sz w:val="24"/>
          <w:szCs w:val="24"/>
        </w:rPr>
        <w:t xml:space="preserve">                                        [Local]</w:t>
      </w:r>
      <w:r w:rsidRPr="006727B9">
        <w:rPr>
          <w:rFonts w:ascii="Garamond" w:hAnsi="Garamond" w:cs="Times New Roman"/>
          <w:i/>
          <w:iCs/>
          <w:color w:val="auto"/>
          <w:sz w:val="24"/>
          <w:szCs w:val="24"/>
        </w:rPr>
        <w:t>,</w:t>
      </w:r>
      <w:r w:rsidRPr="006727B9">
        <w:rPr>
          <w:rFonts w:ascii="Garamond" w:hAnsi="Garamond" w:cs="Times New Roman"/>
          <w:i/>
          <w:iCs/>
          <w:color w:val="FF0000"/>
          <w:sz w:val="24"/>
          <w:szCs w:val="24"/>
        </w:rPr>
        <w:t xml:space="preserve"> [dia] </w:t>
      </w:r>
      <w:r w:rsidRPr="006727B9">
        <w:rPr>
          <w:rFonts w:ascii="Garamond" w:hAnsi="Garamond" w:cs="Times New Roman"/>
          <w:i/>
          <w:iCs/>
          <w:color w:val="auto"/>
          <w:sz w:val="24"/>
          <w:szCs w:val="24"/>
        </w:rPr>
        <w:t>de</w:t>
      </w:r>
      <w:r w:rsidRPr="006727B9">
        <w:rPr>
          <w:rFonts w:ascii="Garamond" w:hAnsi="Garamond" w:cs="Times New Roman"/>
          <w:i/>
          <w:iCs/>
          <w:color w:val="FF0000"/>
          <w:sz w:val="24"/>
          <w:szCs w:val="24"/>
        </w:rPr>
        <w:t xml:space="preserve"> [mês] </w:t>
      </w:r>
      <w:r w:rsidRPr="006727B9">
        <w:rPr>
          <w:rFonts w:ascii="Garamond" w:hAnsi="Garamond" w:cs="Times New Roman"/>
          <w:i/>
          <w:iCs/>
          <w:color w:val="auto"/>
          <w:sz w:val="24"/>
          <w:szCs w:val="24"/>
        </w:rPr>
        <w:t>de</w:t>
      </w:r>
      <w:r w:rsidRPr="006727B9">
        <w:rPr>
          <w:rFonts w:ascii="Garamond" w:hAnsi="Garamond" w:cs="Times New Roman"/>
          <w:i/>
          <w:iCs/>
          <w:color w:val="FF0000"/>
          <w:sz w:val="24"/>
          <w:szCs w:val="24"/>
        </w:rPr>
        <w:t xml:space="preserve"> [ano].</w:t>
      </w:r>
    </w:p>
    <w:p w14:paraId="3E56EA3D" w14:textId="77777777" w:rsidR="00381F54" w:rsidRPr="006727B9" w:rsidRDefault="00000000">
      <w:pPr>
        <w:spacing w:before="120" w:after="288" w:line="312" w:lineRule="auto"/>
        <w:ind w:firstLine="567"/>
        <w:jc w:val="center"/>
        <w:rPr>
          <w:rFonts w:ascii="Garamond" w:hAnsi="Garamond"/>
          <w:bCs/>
          <w:sz w:val="24"/>
          <w:szCs w:val="24"/>
        </w:rPr>
      </w:pPr>
      <w:r w:rsidRPr="006727B9">
        <w:rPr>
          <w:rFonts w:ascii="Garamond" w:hAnsi="Garamond"/>
          <w:bCs/>
          <w:sz w:val="24"/>
          <w:szCs w:val="24"/>
        </w:rPr>
        <w:t>_________________________</w:t>
      </w:r>
    </w:p>
    <w:p w14:paraId="276505D8" w14:textId="77777777" w:rsidR="00381F54" w:rsidRPr="006727B9" w:rsidRDefault="00000000">
      <w:pPr>
        <w:spacing w:before="120" w:after="288" w:line="312" w:lineRule="auto"/>
        <w:ind w:firstLine="567"/>
        <w:jc w:val="center"/>
        <w:rPr>
          <w:rFonts w:ascii="Garamond" w:hAnsi="Garamond"/>
          <w:bCs/>
          <w:sz w:val="24"/>
          <w:szCs w:val="24"/>
        </w:rPr>
      </w:pPr>
      <w:r w:rsidRPr="006727B9">
        <w:rPr>
          <w:rFonts w:ascii="Garamond" w:hAnsi="Garamond"/>
          <w:bCs/>
          <w:sz w:val="24"/>
          <w:szCs w:val="24"/>
        </w:rPr>
        <w:t>Representante legal do CONTRATANTE</w:t>
      </w:r>
    </w:p>
    <w:p w14:paraId="699E0795" w14:textId="77777777" w:rsidR="00381F54" w:rsidRPr="006727B9" w:rsidRDefault="00000000">
      <w:pPr>
        <w:spacing w:before="120" w:after="288" w:line="312" w:lineRule="auto"/>
        <w:ind w:firstLine="567"/>
        <w:jc w:val="center"/>
        <w:rPr>
          <w:rFonts w:ascii="Garamond" w:hAnsi="Garamond"/>
          <w:sz w:val="24"/>
          <w:szCs w:val="24"/>
        </w:rPr>
      </w:pPr>
      <w:r w:rsidRPr="006727B9">
        <w:rPr>
          <w:rFonts w:ascii="Garamond" w:hAnsi="Garamond"/>
          <w:sz w:val="24"/>
          <w:szCs w:val="24"/>
        </w:rPr>
        <w:t>_________________________</w:t>
      </w:r>
    </w:p>
    <w:p w14:paraId="6E95D058" w14:textId="77777777" w:rsidR="00381F54" w:rsidRPr="006727B9" w:rsidRDefault="00000000">
      <w:pPr>
        <w:spacing w:before="120" w:after="288" w:line="312" w:lineRule="auto"/>
        <w:ind w:firstLine="567"/>
        <w:jc w:val="center"/>
        <w:rPr>
          <w:rFonts w:ascii="Garamond" w:hAnsi="Garamond"/>
          <w:sz w:val="24"/>
          <w:szCs w:val="24"/>
        </w:rPr>
      </w:pPr>
      <w:r w:rsidRPr="006727B9">
        <w:rPr>
          <w:rFonts w:ascii="Garamond" w:hAnsi="Garamond"/>
          <w:bCs/>
          <w:sz w:val="24"/>
          <w:szCs w:val="24"/>
        </w:rPr>
        <w:t>Representante</w:t>
      </w:r>
      <w:r w:rsidRPr="006727B9">
        <w:rPr>
          <w:rFonts w:ascii="Garamond" w:hAnsi="Garamond"/>
          <w:sz w:val="24"/>
          <w:szCs w:val="24"/>
        </w:rPr>
        <w:t xml:space="preserve"> legal do CONTRATADO</w:t>
      </w:r>
    </w:p>
    <w:p w14:paraId="0466AB6B" w14:textId="77777777" w:rsidR="00381F54" w:rsidRPr="006727B9" w:rsidRDefault="00000000">
      <w:pPr>
        <w:spacing w:before="120" w:after="288" w:line="312" w:lineRule="auto"/>
        <w:ind w:firstLine="567"/>
        <w:jc w:val="both"/>
        <w:rPr>
          <w:rFonts w:ascii="Garamond" w:hAnsi="Garamond"/>
          <w:i/>
          <w:iCs/>
          <w:color w:val="FF0000"/>
          <w:sz w:val="24"/>
          <w:szCs w:val="24"/>
        </w:rPr>
      </w:pPr>
      <w:r w:rsidRPr="006727B9">
        <w:rPr>
          <w:rFonts w:ascii="Garamond" w:hAnsi="Garamond"/>
          <w:i/>
          <w:iCs/>
          <w:color w:val="FF0000"/>
          <w:sz w:val="24"/>
          <w:szCs w:val="24"/>
        </w:rPr>
        <w:t>TESTEMUNHAS:</w:t>
      </w:r>
    </w:p>
    <w:p w14:paraId="71CAEDA0" w14:textId="77777777" w:rsidR="00381F54" w:rsidRPr="006727B9" w:rsidRDefault="00000000">
      <w:pPr>
        <w:spacing w:before="120" w:after="288" w:line="312" w:lineRule="auto"/>
        <w:ind w:firstLine="567"/>
        <w:rPr>
          <w:rFonts w:ascii="Garamond" w:hAnsi="Garamond"/>
          <w:i/>
          <w:iCs/>
          <w:color w:val="FF0000"/>
          <w:sz w:val="24"/>
          <w:szCs w:val="24"/>
        </w:rPr>
      </w:pPr>
      <w:r w:rsidRPr="006727B9">
        <w:rPr>
          <w:rFonts w:ascii="Garamond" w:hAnsi="Garamond"/>
          <w:i/>
          <w:iCs/>
          <w:color w:val="FF0000"/>
          <w:sz w:val="24"/>
          <w:szCs w:val="24"/>
        </w:rPr>
        <w:t>1-</w:t>
      </w:r>
    </w:p>
    <w:p w14:paraId="110B1774" w14:textId="77777777" w:rsidR="00381F54" w:rsidRPr="006727B9" w:rsidRDefault="00000000">
      <w:pPr>
        <w:spacing w:before="120" w:after="288" w:line="312" w:lineRule="auto"/>
        <w:ind w:firstLine="567"/>
        <w:rPr>
          <w:rFonts w:ascii="Garamond" w:hAnsi="Garamond"/>
          <w:i/>
          <w:iCs/>
          <w:color w:val="FF0000"/>
          <w:sz w:val="24"/>
          <w:szCs w:val="24"/>
        </w:rPr>
      </w:pPr>
      <w:r w:rsidRPr="006727B9">
        <w:rPr>
          <w:rFonts w:ascii="Garamond" w:hAnsi="Garamond"/>
          <w:i/>
          <w:iCs/>
          <w:color w:val="FF0000"/>
          <w:sz w:val="24"/>
          <w:szCs w:val="24"/>
        </w:rPr>
        <w:lastRenderedPageBreak/>
        <w:t xml:space="preserve">2- </w:t>
      </w:r>
    </w:p>
    <w:tbl>
      <w:tblPr>
        <w:tblStyle w:val="Tabelacomgrade"/>
        <w:tblW w:w="0" w:type="auto"/>
        <w:tblInd w:w="360" w:type="dxa"/>
        <w:tblLook w:val="04A0" w:firstRow="1" w:lastRow="0" w:firstColumn="1" w:lastColumn="0" w:noHBand="0" w:noVBand="1"/>
      </w:tblPr>
      <w:tblGrid>
        <w:gridCol w:w="1091"/>
        <w:gridCol w:w="7609"/>
      </w:tblGrid>
      <w:tr w:rsidR="00381F54" w:rsidRPr="006727B9" w14:paraId="259E3D8F" w14:textId="77777777">
        <w:trPr>
          <w:trHeight w:val="385"/>
        </w:trPr>
        <w:tc>
          <w:tcPr>
            <w:tcW w:w="9832" w:type="dxa"/>
            <w:gridSpan w:val="2"/>
          </w:tcPr>
          <w:p w14:paraId="718F6839"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 xml:space="preserve">Notas explicativas </w:t>
            </w:r>
          </w:p>
        </w:tc>
      </w:tr>
      <w:tr w:rsidR="00381F54" w:rsidRPr="006727B9" w14:paraId="35AD6C25" w14:textId="77777777">
        <w:tc>
          <w:tcPr>
            <w:tcW w:w="1195" w:type="dxa"/>
          </w:tcPr>
          <w:p w14:paraId="42AC4B53" w14:textId="77777777" w:rsidR="00381F54" w:rsidRPr="006727B9" w:rsidRDefault="00000000">
            <w:pPr>
              <w:pStyle w:val="Nivel01"/>
              <w:numPr>
                <w:ilvl w:val="0"/>
                <w:numId w:val="0"/>
              </w:numPr>
              <w:rPr>
                <w:rFonts w:ascii="Garamond" w:hAnsi="Garamond" w:cs="Times New Roman"/>
                <w:sz w:val="24"/>
                <w:szCs w:val="24"/>
              </w:rPr>
            </w:pPr>
            <w:r w:rsidRPr="006727B9">
              <w:rPr>
                <w:rFonts w:ascii="Garamond" w:hAnsi="Garamond" w:cs="Times New Roman"/>
                <w:sz w:val="24"/>
                <w:szCs w:val="24"/>
              </w:rPr>
              <w:t>17</w:t>
            </w:r>
          </w:p>
        </w:tc>
        <w:tc>
          <w:tcPr>
            <w:tcW w:w="8637" w:type="dxa"/>
          </w:tcPr>
          <w:p w14:paraId="66D287B7" w14:textId="77777777" w:rsidR="00381F54" w:rsidRPr="006727B9" w:rsidRDefault="00000000">
            <w:pPr>
              <w:jc w:val="both"/>
              <w:rPr>
                <w:rFonts w:ascii="Garamond" w:hAnsi="Garamond"/>
                <w:i/>
                <w:iCs/>
                <w:sz w:val="24"/>
                <w:szCs w:val="24"/>
              </w:rPr>
            </w:pPr>
            <w:r w:rsidRPr="006727B9">
              <w:rPr>
                <w:rStyle w:val="cf01"/>
                <w:rFonts w:ascii="Garamond" w:hAnsi="Garamond" w:cs="Times New Roman"/>
                <w:sz w:val="24"/>
                <w:szCs w:val="24"/>
              </w:rPr>
              <w:t>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w:t>
            </w:r>
          </w:p>
        </w:tc>
      </w:tr>
    </w:tbl>
    <w:p w14:paraId="591A9A29" w14:textId="77777777" w:rsidR="00381F54" w:rsidRPr="006727B9" w:rsidRDefault="00381F54">
      <w:pPr>
        <w:spacing w:before="120" w:after="288" w:line="312" w:lineRule="auto"/>
        <w:ind w:firstLine="567"/>
        <w:rPr>
          <w:rFonts w:ascii="Garamond" w:hAnsi="Garamond"/>
          <w:sz w:val="24"/>
          <w:szCs w:val="24"/>
        </w:rPr>
      </w:pPr>
    </w:p>
    <w:p w14:paraId="6C99051D" w14:textId="77777777" w:rsidR="00381F54" w:rsidRPr="006727B9" w:rsidRDefault="00381F54">
      <w:pPr>
        <w:rPr>
          <w:rFonts w:ascii="Garamond" w:hAnsi="Garamond"/>
          <w:sz w:val="24"/>
          <w:szCs w:val="24"/>
        </w:rPr>
      </w:pPr>
    </w:p>
    <w:p w14:paraId="45660ACB" w14:textId="77777777" w:rsidR="00381F54" w:rsidRPr="006727B9" w:rsidRDefault="00381F54">
      <w:pPr>
        <w:rPr>
          <w:rFonts w:ascii="Garamond" w:hAnsi="Garamond"/>
          <w:sz w:val="24"/>
          <w:szCs w:val="24"/>
        </w:rPr>
      </w:pPr>
    </w:p>
    <w:sectPr w:rsidR="00381F54" w:rsidRPr="006727B9">
      <w:headerReference w:type="even" r:id="rId42"/>
      <w:headerReference w:type="default" r:id="rId43"/>
      <w:footerReference w:type="even" r:id="rId44"/>
      <w:footerReference w:type="default" r:id="rId45"/>
      <w:headerReference w:type="first" r:id="rId46"/>
      <w:footerReference w:type="first" r:id="rId47"/>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31C6" w14:textId="77777777" w:rsidR="00C36D35" w:rsidRDefault="00C36D35">
      <w:r>
        <w:separator/>
      </w:r>
    </w:p>
  </w:endnote>
  <w:endnote w:type="continuationSeparator" w:id="0">
    <w:p w14:paraId="3A5B4B8F" w14:textId="77777777" w:rsidR="00C36D35" w:rsidRDefault="00C3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47D8" w14:textId="77777777" w:rsidR="00381F54" w:rsidRDefault="00381F5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78F7" w14:textId="77777777" w:rsidR="00381F54" w:rsidRDefault="00381F54">
    <w:pPr>
      <w:pStyle w:val="Corpodetexto31"/>
      <w:jc w:val="center"/>
    </w:pPr>
  </w:p>
  <w:p w14:paraId="789B526D" w14:textId="77777777" w:rsidR="00381F54" w:rsidRDefault="00000000">
    <w:pPr>
      <w:pStyle w:val="Corpodetexto31"/>
      <w:jc w:val="center"/>
    </w:pPr>
    <w:r>
      <w:t>Rua Visconde de Sepetiba, nº 987, 7º andar, Centro – Niterói</w:t>
    </w:r>
  </w:p>
  <w:p w14:paraId="79B6105D" w14:textId="77777777" w:rsidR="00381F54" w:rsidRDefault="00000000">
    <w:pPr>
      <w:pStyle w:val="Corpodetexto31"/>
      <w:jc w:val="center"/>
    </w:pPr>
    <w:proofErr w:type="spellStart"/>
    <w:r>
      <w:t>Tel</w:t>
    </w:r>
    <w:proofErr w:type="spellEnd"/>
    <w:r>
      <w:t xml:space="preserve">: (21) 2620-0403 - Ramal: </w:t>
    </w:r>
    <w:proofErr w:type="gramStart"/>
    <w:r>
      <w:t>275  -</w:t>
    </w:r>
    <w:proofErr w:type="gramEnd"/>
    <w:r>
      <w:t xml:space="preserve">  </w:t>
    </w:r>
    <w:proofErr w:type="spellStart"/>
    <w:r>
      <w:t>Tel</w:t>
    </w:r>
    <w:proofErr w:type="spellEnd"/>
    <w:r>
      <w:t xml:space="preserve"> (Fax): (21) 2719-3740</w:t>
    </w:r>
  </w:p>
  <w:p w14:paraId="589EA7DC" w14:textId="77777777" w:rsidR="00381F54" w:rsidRDefault="00381F5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42A3" w14:textId="77777777" w:rsidR="00381F54" w:rsidRDefault="00381F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C638" w14:textId="77777777" w:rsidR="00C36D35" w:rsidRDefault="00C36D35">
      <w:r>
        <w:separator/>
      </w:r>
    </w:p>
  </w:footnote>
  <w:footnote w:type="continuationSeparator" w:id="0">
    <w:p w14:paraId="63424389" w14:textId="77777777" w:rsidR="00C36D35" w:rsidRDefault="00C3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2B9E" w14:textId="77777777" w:rsidR="00381F54" w:rsidRDefault="00381F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CE2D" w14:textId="77777777" w:rsidR="00381F54" w:rsidRDefault="00381F54">
    <w:pPr>
      <w:pStyle w:val="Cabealho"/>
      <w:jc w:val="center"/>
      <w:rPr>
        <w:b/>
        <w:sz w:val="16"/>
        <w:szCs w:val="16"/>
      </w:rPr>
    </w:pPr>
  </w:p>
  <w:p w14:paraId="2B5A8484" w14:textId="77777777" w:rsidR="00381F54" w:rsidRDefault="00000000">
    <w:pPr>
      <w:pStyle w:val="Cabealho"/>
      <w:jc w:val="center"/>
    </w:pPr>
    <w:r>
      <w:rPr>
        <w:noProof/>
        <w:lang w:eastAsia="pt-BR"/>
      </w:rPr>
      <mc:AlternateContent>
        <mc:Choice Requires="wpg">
          <w:drawing>
            <wp:inline distT="0" distB="0" distL="0" distR="0" wp14:anchorId="0D9F12DC" wp14:editId="2AA33CF8">
              <wp:extent cx="1731010" cy="653415"/>
              <wp:effectExtent l="0" t="0" r="0" b="0"/>
              <wp:docPr id="1"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pic:cNvPicPr>
                        <a:picLocks noChangeAspect="1"/>
                      </pic:cNvPicPr>
                    </pic:nvPicPr>
                    <pic:blipFill>
                      <a:blip r:embed="rId1"/>
                      <a:stretch/>
                    </pic:blipFill>
                    <pic:spPr bwMode="auto">
                      <a:xfrm>
                        <a:off x="0" y="0"/>
                        <a:ext cx="1731010" cy="65341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6.30pt;height:51.45pt;mso-wrap-distance-left:0.00pt;mso-wrap-distance-top:0.00pt;mso-wrap-distance-right:0.00pt;mso-wrap-distance-bottom:0.00pt;z-index:1;" stroked="false">
              <v:imagedata r:id="rId2" o:title=""/>
              <o:lock v:ext="edit" rotation="t"/>
            </v:shape>
          </w:pict>
        </mc:Fallback>
      </mc:AlternateContent>
    </w:r>
  </w:p>
  <w:p w14:paraId="4A9A9292" w14:textId="77777777" w:rsidR="00381F54" w:rsidRDefault="00381F54">
    <w:pPr>
      <w:pStyle w:val="Cabealho"/>
      <w:ind w:right="-496"/>
      <w:jc w:val="center"/>
    </w:pPr>
  </w:p>
  <w:p w14:paraId="26F5C3FB" w14:textId="77777777" w:rsidR="00381F54" w:rsidRDefault="00381F5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C299" w14:textId="77777777" w:rsidR="00381F54" w:rsidRDefault="00381F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3F33"/>
    <w:multiLevelType w:val="multilevel"/>
    <w:tmpl w:val="8E7A583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4C853EA"/>
    <w:multiLevelType w:val="multilevel"/>
    <w:tmpl w:val="F0741CC0"/>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5305C7F"/>
    <w:multiLevelType w:val="multilevel"/>
    <w:tmpl w:val="5E82181A"/>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32971939"/>
    <w:multiLevelType w:val="multilevel"/>
    <w:tmpl w:val="23305F7A"/>
    <w:lvl w:ilvl="0">
      <w:start w:val="1"/>
      <w:numFmt w:val="decimal"/>
      <w:pStyle w:val="Nivel01"/>
      <w:lvlText w:val="%1."/>
      <w:lvlJc w:val="left"/>
      <w:pPr>
        <w:ind w:left="1211"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Times New Roman" w:hAnsi="Times New Roman" w:cs="Times New Roman"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48086B"/>
    <w:multiLevelType w:val="multilevel"/>
    <w:tmpl w:val="387A17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E693A7A"/>
    <w:multiLevelType w:val="multilevel"/>
    <w:tmpl w:val="56CAD79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878144D"/>
    <w:multiLevelType w:val="multilevel"/>
    <w:tmpl w:val="0EB486D2"/>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FC6C59"/>
    <w:multiLevelType w:val="multilevel"/>
    <w:tmpl w:val="ADFAF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331A4D"/>
    <w:multiLevelType w:val="multilevel"/>
    <w:tmpl w:val="607A8D0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7D04254"/>
    <w:multiLevelType w:val="multilevel"/>
    <w:tmpl w:val="952054E8"/>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0" w15:restartNumberingAfterBreak="0">
    <w:nsid w:val="799F1493"/>
    <w:multiLevelType w:val="hybridMultilevel"/>
    <w:tmpl w:val="CE5AF09C"/>
    <w:lvl w:ilvl="0" w:tplc="5A501BD2">
      <w:start w:val="12"/>
      <w:numFmt w:val="decimal"/>
      <w:lvlText w:val="%1"/>
      <w:lvlJc w:val="left"/>
      <w:pPr>
        <w:ind w:left="1211" w:hanging="360"/>
      </w:pPr>
      <w:rPr>
        <w:rFonts w:hint="default"/>
        <w:color w:val="auto"/>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15:restartNumberingAfterBreak="0">
    <w:nsid w:val="7D8D642F"/>
    <w:multiLevelType w:val="multilevel"/>
    <w:tmpl w:val="456230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9779894">
    <w:abstractNumId w:val="3"/>
  </w:num>
  <w:num w:numId="2" w16cid:durableId="2010136903">
    <w:abstractNumId w:val="9"/>
  </w:num>
  <w:num w:numId="3" w16cid:durableId="835655273">
    <w:abstractNumId w:val="4"/>
  </w:num>
  <w:num w:numId="4" w16cid:durableId="977685505">
    <w:abstractNumId w:val="1"/>
  </w:num>
  <w:num w:numId="5" w16cid:durableId="1337463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4193593">
    <w:abstractNumId w:val="2"/>
  </w:num>
  <w:num w:numId="7" w16cid:durableId="894632331">
    <w:abstractNumId w:val="0"/>
  </w:num>
  <w:num w:numId="8" w16cid:durableId="1034619829">
    <w:abstractNumId w:val="8"/>
  </w:num>
  <w:num w:numId="9" w16cid:durableId="481236236">
    <w:abstractNumId w:val="7"/>
  </w:num>
  <w:num w:numId="10" w16cid:durableId="232661727">
    <w:abstractNumId w:val="6"/>
  </w:num>
  <w:num w:numId="11" w16cid:durableId="1394501684">
    <w:abstractNumId w:val="5"/>
  </w:num>
  <w:num w:numId="12" w16cid:durableId="1354304727">
    <w:abstractNumId w:val="11"/>
  </w:num>
  <w:num w:numId="13" w16cid:durableId="61608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54"/>
    <w:rsid w:val="00020357"/>
    <w:rsid w:val="00047B9E"/>
    <w:rsid w:val="000601AC"/>
    <w:rsid w:val="000C6CF1"/>
    <w:rsid w:val="000D0FBA"/>
    <w:rsid w:val="000F3675"/>
    <w:rsid w:val="00120AAE"/>
    <w:rsid w:val="00136CD9"/>
    <w:rsid w:val="001B1DD0"/>
    <w:rsid w:val="0022332C"/>
    <w:rsid w:val="00260E3D"/>
    <w:rsid w:val="00281730"/>
    <w:rsid w:val="00363465"/>
    <w:rsid w:val="00381F54"/>
    <w:rsid w:val="003E3FD7"/>
    <w:rsid w:val="00447F05"/>
    <w:rsid w:val="00455D77"/>
    <w:rsid w:val="004A5847"/>
    <w:rsid w:val="004C08B4"/>
    <w:rsid w:val="0051381E"/>
    <w:rsid w:val="005A258D"/>
    <w:rsid w:val="006156C4"/>
    <w:rsid w:val="006727B9"/>
    <w:rsid w:val="0068090F"/>
    <w:rsid w:val="006B2688"/>
    <w:rsid w:val="006B47B2"/>
    <w:rsid w:val="00722540"/>
    <w:rsid w:val="007E2772"/>
    <w:rsid w:val="008B4A23"/>
    <w:rsid w:val="008F0B2C"/>
    <w:rsid w:val="008F1E2A"/>
    <w:rsid w:val="008F472C"/>
    <w:rsid w:val="009252FC"/>
    <w:rsid w:val="009A0A85"/>
    <w:rsid w:val="00A16317"/>
    <w:rsid w:val="00B400C6"/>
    <w:rsid w:val="00B46868"/>
    <w:rsid w:val="00BE769E"/>
    <w:rsid w:val="00C36D35"/>
    <w:rsid w:val="00CC1B90"/>
    <w:rsid w:val="00D27CB7"/>
    <w:rsid w:val="00D40FF6"/>
    <w:rsid w:val="00DD3676"/>
    <w:rsid w:val="00DF220D"/>
    <w:rsid w:val="00EA12EA"/>
    <w:rsid w:val="00F24CF9"/>
    <w:rsid w:val="00F535D2"/>
    <w:rsid w:val="00FA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8EEB"/>
  <w15:docId w15:val="{90CD258D-A2BA-41E3-8285-BD5F16FE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lang w:eastAsia="ar-SA"/>
    </w:rPr>
  </w:style>
  <w:style w:type="paragraph" w:styleId="Ttulo1">
    <w:name w:val="heading 1"/>
    <w:basedOn w:val="Normal"/>
    <w:next w:val="Normal"/>
    <w:link w:val="Ttulo1Char1"/>
    <w:qFormat/>
    <w:pPr>
      <w:keepNext/>
      <w:ind w:left="1985" w:right="851"/>
      <w:jc w:val="center"/>
      <w:outlineLvl w:val="0"/>
    </w:pPr>
    <w:rPr>
      <w:rFonts w:ascii="Cambria" w:eastAsia="Times New Roman" w:hAnsi="Cambria" w:cs="Cambria"/>
      <w:b/>
      <w:bCs/>
      <w:sz w:val="32"/>
      <w:szCs w:val="32"/>
    </w:rPr>
  </w:style>
  <w:style w:type="paragraph" w:styleId="Ttulo2">
    <w:name w:val="heading 2"/>
    <w:basedOn w:val="Normal"/>
    <w:next w:val="Normal"/>
    <w:link w:val="Ttulo2Char1"/>
    <w:qFormat/>
    <w:pPr>
      <w:keepNext/>
      <w:spacing w:before="240" w:after="60"/>
      <w:outlineLvl w:val="1"/>
    </w:pPr>
    <w:rPr>
      <w:rFonts w:ascii="Calibri Light" w:eastAsia="Times New Roman" w:hAnsi="Calibri Light" w:cs="Calibri Light"/>
      <w:b/>
      <w:bCs/>
      <w:i/>
      <w:iCs/>
      <w:sz w:val="28"/>
      <w:szCs w:val="28"/>
    </w:rPr>
  </w:style>
  <w:style w:type="paragraph" w:styleId="Ttulo3">
    <w:name w:val="heading 3"/>
    <w:basedOn w:val="Normal"/>
    <w:next w:val="Normal"/>
    <w:link w:val="Ttulo3Char1"/>
    <w:qFormat/>
    <w:pPr>
      <w:keepNext/>
      <w:spacing w:before="240" w:after="60"/>
      <w:outlineLvl w:val="2"/>
    </w:pPr>
    <w:rPr>
      <w:rFonts w:ascii="Calibri Light" w:eastAsia="Times New Roman" w:hAnsi="Calibri Light" w:cs="Calibri Light"/>
      <w:b/>
      <w:bCs/>
      <w:sz w:val="26"/>
      <w:szCs w:val="26"/>
    </w:rPr>
  </w:style>
  <w:style w:type="paragraph" w:styleId="Ttulo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Ttulo6">
    <w:name w:val="heading 6"/>
    <w:basedOn w:val="Normal"/>
    <w:next w:val="Normal"/>
    <w:link w:val="Ttulo6Char"/>
    <w:uiPriority w:val="9"/>
    <w:unhideWhenUsed/>
    <w:qFormat/>
    <w:pPr>
      <w:keepNext/>
      <w:keepLines/>
      <w:spacing w:before="40"/>
      <w:outlineLvl w:val="5"/>
    </w:pPr>
    <w:rPr>
      <w:rFonts w:ascii="Arial" w:eastAsia="Arial" w:hAnsi="Arial" w:cs="Arial"/>
      <w:i/>
      <w:iCs/>
      <w:color w:val="595959" w:themeColor="text1" w:themeTint="A6"/>
    </w:rPr>
  </w:style>
  <w:style w:type="paragraph" w:styleId="Ttulo7">
    <w:name w:val="heading 7"/>
    <w:basedOn w:val="Normal"/>
    <w:next w:val="Normal"/>
    <w:link w:val="Ttulo7Char"/>
    <w:uiPriority w:val="9"/>
    <w:unhideWhenUsed/>
    <w:qFormat/>
    <w:pPr>
      <w:keepNext/>
      <w:keepLines/>
      <w:spacing w:before="40"/>
      <w:outlineLvl w:val="6"/>
    </w:pPr>
    <w:rPr>
      <w:rFonts w:ascii="Arial" w:eastAsia="Arial" w:hAnsi="Arial" w:cs="Arial"/>
      <w:color w:val="595959" w:themeColor="text1" w:themeTint="A6"/>
    </w:rPr>
  </w:style>
  <w:style w:type="paragraph" w:styleId="Ttulo8">
    <w:name w:val="heading 8"/>
    <w:basedOn w:val="Normal"/>
    <w:next w:val="Normal"/>
    <w:link w:val="Ttulo8Char"/>
    <w:uiPriority w:val="9"/>
    <w:unhideWhenUsed/>
    <w:qFormat/>
    <w:pPr>
      <w:keepNext/>
      <w:keepLines/>
      <w:outlineLvl w:val="7"/>
    </w:pPr>
    <w:rPr>
      <w:rFonts w:ascii="Arial" w:eastAsia="Arial" w:hAnsi="Arial" w:cs="Arial"/>
      <w:i/>
      <w:iCs/>
      <w:color w:val="272727" w:themeColor="text1" w:themeTint="D8"/>
    </w:rPr>
  </w:style>
  <w:style w:type="paragraph" w:styleId="Ttulo9">
    <w:name w:val="heading 9"/>
    <w:basedOn w:val="Normal"/>
    <w:next w:val="Normal"/>
    <w:link w:val="Ttulo9Char"/>
    <w:uiPriority w:val="9"/>
    <w:unhideWhenUsed/>
    <w:qFormat/>
    <w:pPr>
      <w:keepNext/>
      <w:keepLines/>
      <w:outlineLvl w:val="8"/>
    </w:pPr>
    <w:rPr>
      <w:rFonts w:ascii="Arial" w:eastAsia="Arial" w:hAnsi="Arial" w:cs="Arial"/>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tulo1Char1">
    <w:name w:val="Título 1 Char1"/>
    <w:basedOn w:val="Fontepargpadro"/>
    <w:link w:val="Ttulo1"/>
    <w:uiPriority w:val="9"/>
    <w:rPr>
      <w:rFonts w:ascii="Arial" w:eastAsia="Arial" w:hAnsi="Arial" w:cs="Arial"/>
      <w:color w:val="2F5496" w:themeColor="accent1" w:themeShade="BF"/>
      <w:sz w:val="40"/>
      <w:szCs w:val="40"/>
    </w:rPr>
  </w:style>
  <w:style w:type="character" w:customStyle="1" w:styleId="Ttulo2Char1">
    <w:name w:val="Título 2 Char1"/>
    <w:basedOn w:val="Fontepargpadro"/>
    <w:link w:val="Ttulo2"/>
    <w:uiPriority w:val="9"/>
    <w:rPr>
      <w:rFonts w:ascii="Arial" w:eastAsia="Arial" w:hAnsi="Arial" w:cs="Arial"/>
      <w:color w:val="2F5496" w:themeColor="accent1" w:themeShade="BF"/>
      <w:sz w:val="32"/>
      <w:szCs w:val="32"/>
    </w:rPr>
  </w:style>
  <w:style w:type="character" w:customStyle="1" w:styleId="Ttulo3Char1">
    <w:name w:val="Título 3 Char1"/>
    <w:basedOn w:val="Fontepargpadro"/>
    <w:link w:val="Ttulo3"/>
    <w:uiPriority w:val="9"/>
    <w:rPr>
      <w:rFonts w:ascii="Arial" w:eastAsia="Arial" w:hAnsi="Arial" w:cs="Arial"/>
      <w:color w:val="2F5496"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2F5496" w:themeColor="accent1" w:themeShade="BF"/>
    </w:rPr>
  </w:style>
  <w:style w:type="character" w:customStyle="1" w:styleId="Ttulo5Char">
    <w:name w:val="Título 5 Char"/>
    <w:basedOn w:val="Fontepargpadro"/>
    <w:link w:val="Ttulo5"/>
    <w:uiPriority w:val="9"/>
    <w:rPr>
      <w:rFonts w:ascii="Arial" w:eastAsia="Arial" w:hAnsi="Arial" w:cs="Arial"/>
      <w:color w:val="2F5496"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pPr>
    <w:rPr>
      <w:color w:val="595959" w:themeColor="text1" w:themeTint="A6"/>
      <w:spacing w:val="15"/>
      <w:sz w:val="28"/>
      <w:szCs w:val="28"/>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character" w:styleId="nfaseIntensa">
    <w:name w:val="Intense Emphasis"/>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Pr>
      <w:i/>
      <w:iCs/>
      <w:color w:val="2F5496" w:themeColor="accent1" w:themeShade="BF"/>
    </w:rPr>
  </w:style>
  <w:style w:type="character" w:styleId="RefernciaIntensa">
    <w:name w:val="Intense Reference"/>
    <w:basedOn w:val="Fontepargpadro"/>
    <w:uiPriority w:val="32"/>
    <w:qFormat/>
    <w:rPr>
      <w:b/>
      <w:bCs/>
      <w:smallCaps/>
      <w:color w:val="2F5496" w:themeColor="accent1" w:themeShade="BF"/>
      <w:spacing w:val="5"/>
    </w:rPr>
  </w:style>
  <w:style w:type="character" w:styleId="nfaseSutil">
    <w:name w:val="Subtle Emphasis"/>
    <w:basedOn w:val="Fontepargpadro"/>
    <w:uiPriority w:val="19"/>
    <w:qFormat/>
    <w:rPr>
      <w:i/>
      <w:iCs/>
      <w:color w:val="404040" w:themeColor="text1" w:themeTint="BF"/>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customStyle="1" w:styleId="CabealhoChar1">
    <w:name w:val="Cabeçalho Char1"/>
    <w:basedOn w:val="Fontepargpadro"/>
    <w:link w:val="Cabealho"/>
    <w:uiPriority w:val="99"/>
  </w:style>
  <w:style w:type="character" w:customStyle="1" w:styleId="RodapChar1">
    <w:name w:val="Rodapé Char1"/>
    <w:basedOn w:val="Fontepargpadro"/>
    <w:link w:val="Rodap"/>
    <w:uiPriority w:val="99"/>
  </w:style>
  <w:style w:type="character" w:customStyle="1" w:styleId="FootnoteTextChar">
    <w:name w:val="Footnote Text Char"/>
    <w:basedOn w:val="Fontepargpadro"/>
    <w:uiPriority w:val="99"/>
    <w:semiHidden/>
    <w:rPr>
      <w:sz w:val="20"/>
      <w:szCs w:val="20"/>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SimSu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1">
    <w:name w:val="Fonte parág. padrão1"/>
    <w:qFormat/>
  </w:style>
  <w:style w:type="character" w:styleId="Nmerodepgina">
    <w:name w:val="page number"/>
    <w:qFormat/>
    <w:rPr>
      <w:rFonts w:cs="Times New Roman"/>
    </w:rPr>
  </w:style>
  <w:style w:type="character" w:customStyle="1" w:styleId="Caracteresdenotaderodap">
    <w:name w:val="Caracteres de nota de rodapé"/>
    <w:qFormat/>
    <w:rPr>
      <w:rFonts w:cs="Times New Roman"/>
      <w:vertAlign w:val="superscript"/>
    </w:rPr>
  </w:style>
  <w:style w:type="character" w:customStyle="1" w:styleId="LinkdaInternet">
    <w:name w:val="Link da Internet"/>
    <w:rPr>
      <w:rFonts w:cs="Times New Roman"/>
      <w:color w:val="0000FF"/>
      <w:u w:val="single"/>
    </w:rPr>
  </w:style>
  <w:style w:type="character" w:styleId="Forte">
    <w:name w:val="Strong"/>
    <w:uiPriority w:val="22"/>
    <w:qFormat/>
    <w:rPr>
      <w:rFonts w:cs="Times New Roman"/>
      <w:b/>
      <w:bCs/>
    </w:rPr>
  </w:style>
  <w:style w:type="character" w:styleId="HiperlinkVisitado">
    <w:name w:val="FollowedHyperlink"/>
    <w:qFormat/>
    <w:rPr>
      <w:rFonts w:cs="Times New Roman"/>
      <w:color w:val="800080"/>
      <w:u w:val="single"/>
    </w:rPr>
  </w:style>
  <w:style w:type="character" w:customStyle="1" w:styleId="Recuodecorpodetexto2Char">
    <w:name w:val="Recuo de corpo de texto 2 Char"/>
    <w:qFormat/>
    <w:rPr>
      <w:sz w:val="20"/>
      <w:szCs w:val="20"/>
    </w:rPr>
  </w:style>
  <w:style w:type="character" w:customStyle="1" w:styleId="RodapChar">
    <w:name w:val="Rodapé Char"/>
    <w:qFormat/>
    <w:rPr>
      <w:rFonts w:cs="Times New Roman"/>
      <w:sz w:val="28"/>
      <w:lang w:val="pt-BR" w:eastAsia="ar-SA" w:bidi="ar-SA"/>
    </w:rPr>
  </w:style>
  <w:style w:type="character" w:customStyle="1" w:styleId="TextodenotaderodapChar">
    <w:name w:val="Texto de nota de rodapé Char"/>
    <w:uiPriority w:val="99"/>
    <w:qFormat/>
    <w:rPr>
      <w:rFonts w:cs="Times New Roman"/>
      <w:lang w:val="pt-BR" w:eastAsia="ar-SA" w:bidi="ar-SA"/>
    </w:rPr>
  </w:style>
  <w:style w:type="character" w:customStyle="1" w:styleId="apple-converted-space">
    <w:name w:val="apple-converted-space"/>
    <w:basedOn w:val="Fontepargpadro1"/>
    <w:qFormat/>
  </w:style>
  <w:style w:type="character" w:customStyle="1" w:styleId="Pr-formataoHTMLChar">
    <w:name w:val="Pré-formatação HTML Char"/>
    <w:qFormat/>
    <w:rPr>
      <w:rFonts w:ascii="Courier New" w:hAnsi="Courier New" w:cs="Courier New"/>
      <w:sz w:val="20"/>
      <w:szCs w:val="20"/>
    </w:rPr>
  </w:style>
  <w:style w:type="character" w:customStyle="1" w:styleId="CabealhoChar">
    <w:name w:val="Cabeçalho Char"/>
    <w:qFormat/>
    <w:rPr>
      <w:sz w:val="20"/>
      <w:szCs w:val="20"/>
    </w:rPr>
  </w:style>
  <w:style w:type="character" w:customStyle="1" w:styleId="Corpodetexto3Char">
    <w:name w:val="Corpo de texto 3 Char"/>
    <w:qFormat/>
    <w:rPr>
      <w:sz w:val="16"/>
      <w:szCs w:val="16"/>
    </w:rPr>
  </w:style>
  <w:style w:type="character" w:customStyle="1" w:styleId="Ttulo1Char">
    <w:name w:val="Título 1 Char"/>
    <w:qFormat/>
    <w:rPr>
      <w:rFonts w:ascii="Cambria" w:eastAsia="Times New Roman" w:hAnsi="Cambria" w:cs="Times New Roman"/>
      <w:b/>
      <w:bCs/>
      <w:sz w:val="32"/>
      <w:szCs w:val="32"/>
    </w:rPr>
  </w:style>
  <w:style w:type="character" w:customStyle="1" w:styleId="CorpodetextoChar">
    <w:name w:val="Corpo de texto Char"/>
    <w:qFormat/>
    <w:rPr>
      <w:sz w:val="20"/>
      <w:szCs w:val="20"/>
    </w:rPr>
  </w:style>
  <w:style w:type="character" w:customStyle="1" w:styleId="RecuodecorpodetextoChar">
    <w:name w:val="Recuo de corpo de texto Char"/>
    <w:qFormat/>
    <w:rPr>
      <w:sz w:val="20"/>
      <w:szCs w:val="20"/>
    </w:rPr>
  </w:style>
  <w:style w:type="character" w:customStyle="1" w:styleId="TextodebaloChar">
    <w:name w:val="Texto de balão Char"/>
    <w:qFormat/>
    <w:rPr>
      <w:sz w:val="16"/>
      <w:szCs w:val="0"/>
    </w:rPr>
  </w:style>
  <w:style w:type="character" w:customStyle="1" w:styleId="m-4351827224546038511gmail-apple-style-span">
    <w:name w:val="m_-4351827224546038511gmail-apple-style-span"/>
    <w:qFormat/>
  </w:style>
  <w:style w:type="character" w:customStyle="1" w:styleId="Ttulo2Char">
    <w:name w:val="Título 2 Char"/>
    <w:qFormat/>
    <w:rPr>
      <w:rFonts w:ascii="Calibri Light" w:eastAsia="Times New Roman" w:hAnsi="Calibri Light" w:cs="Times New Roman"/>
      <w:b/>
      <w:bCs/>
      <w:i/>
      <w:iCs/>
      <w:sz w:val="28"/>
      <w:szCs w:val="28"/>
      <w:lang w:val="pt-BR"/>
    </w:rPr>
  </w:style>
  <w:style w:type="character" w:customStyle="1" w:styleId="Ttulo3Char">
    <w:name w:val="Título 3 Char"/>
    <w:qFormat/>
    <w:rPr>
      <w:rFonts w:ascii="Calibri Light" w:eastAsia="Times New Roman" w:hAnsi="Calibri Light" w:cs="Times New Roman"/>
      <w:b/>
      <w:bCs/>
      <w:sz w:val="26"/>
      <w:szCs w:val="26"/>
      <w:lang w:val="pt-BR"/>
    </w:rPr>
  </w:style>
  <w:style w:type="character" w:styleId="nfase">
    <w:name w:val="Emphasis"/>
    <w:uiPriority w:val="20"/>
    <w:qFormat/>
    <w:rPr>
      <w:i/>
      <w:iCs/>
    </w:rPr>
  </w:style>
  <w:style w:type="character" w:customStyle="1" w:styleId="label">
    <w:name w:val="label"/>
    <w:qFormat/>
  </w:style>
  <w:style w:type="character" w:customStyle="1" w:styleId="WW-Caracteresdenotaderodap">
    <w:name w:val="WW-Caracteres de nota de rodapé"/>
    <w:qFormat/>
    <w:rPr>
      <w:rFonts w:cs="Times New Roman"/>
      <w:vertAlign w:val="superscript"/>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customStyle="1" w:styleId="ncoradanotadefim">
    <w:name w:val="Âncora da nota de fim"/>
    <w:rPr>
      <w:vertAlign w:val="superscript"/>
    </w:rPr>
  </w:style>
  <w:style w:type="character" w:customStyle="1" w:styleId="EndnoteCharacters">
    <w:name w:val="Endnote Characters"/>
    <w:qFormat/>
    <w:rPr>
      <w:vertAlign w:val="superscript"/>
    </w:rPr>
  </w:style>
  <w:style w:type="character" w:customStyle="1" w:styleId="Caracteresdenotadefim">
    <w:name w:val="Caracteres de nota de fim"/>
    <w:qFormat/>
  </w:style>
  <w:style w:type="character" w:customStyle="1" w:styleId="MenoPendente1">
    <w:name w:val="Menção Pendente1"/>
    <w:uiPriority w:val="99"/>
    <w:semiHidden/>
    <w:unhideWhenUsed/>
    <w:qFormat/>
    <w:rPr>
      <w:color w:val="605E5C"/>
      <w:shd w:val="clear" w:color="auto" w:fill="E1DFDD"/>
    </w:rPr>
  </w:style>
  <w:style w:type="character" w:customStyle="1" w:styleId="Recuodecorpodetexto2Char1">
    <w:name w:val="Recuo de corpo de texto 2 Char1"/>
    <w:link w:val="Recuodecorpodetexto2"/>
    <w:uiPriority w:val="99"/>
    <w:qFormat/>
    <w:rPr>
      <w:rFonts w:eastAsia="SimSun"/>
      <w:lang w:val="pt-BR" w:eastAsia="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Ttulo">
    <w:name w:val="Title"/>
    <w:basedOn w:val="Normal"/>
    <w:next w:val="Corpodetexto"/>
    <w:link w:val="TtuloChar"/>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keepNext/>
      <w:spacing w:before="240" w:after="120"/>
    </w:pPr>
    <w:rPr>
      <w:rFonts w:ascii="Arial" w:eastAsia="Microsoft YaHei" w:hAnsi="Arial" w:cs="Arial"/>
      <w:sz w:val="28"/>
      <w:szCs w:val="28"/>
    </w:rPr>
  </w:style>
  <w:style w:type="paragraph" w:customStyle="1" w:styleId="Legenda1">
    <w:name w:val="Legenda1"/>
    <w:basedOn w:val="Normal"/>
    <w:qFormat/>
    <w:pPr>
      <w:suppressLineNumbers/>
      <w:spacing w:before="120" w:after="120"/>
    </w:pPr>
    <w:rPr>
      <w:rFonts w:cs="Arial"/>
      <w:i/>
      <w:iCs/>
      <w:sz w:val="24"/>
      <w:szCs w:val="24"/>
    </w:rPr>
  </w:style>
  <w:style w:type="paragraph" w:styleId="Cabealho">
    <w:name w:val="header"/>
    <w:basedOn w:val="Normal"/>
    <w:link w:val="CabealhoChar1"/>
    <w:pPr>
      <w:tabs>
        <w:tab w:val="center" w:pos="4419"/>
        <w:tab w:val="right" w:pos="8838"/>
      </w:tabs>
      <w:jc w:val="both"/>
    </w:pPr>
  </w:style>
  <w:style w:type="paragraph" w:styleId="Rodap">
    <w:name w:val="footer"/>
    <w:basedOn w:val="Normal"/>
    <w:link w:val="RodapChar1"/>
    <w:pPr>
      <w:tabs>
        <w:tab w:val="center" w:pos="4419"/>
        <w:tab w:val="right" w:pos="8838"/>
      </w:tabs>
      <w:jc w:val="both"/>
    </w:pPr>
    <w:rPr>
      <w:sz w:val="28"/>
    </w:rPr>
  </w:style>
  <w:style w:type="paragraph" w:customStyle="1" w:styleId="Recuodecorpodetexto21">
    <w:name w:val="Recuo de corpo de texto 21"/>
    <w:basedOn w:val="Normal"/>
    <w:qFormat/>
    <w:pPr>
      <w:spacing w:line="360" w:lineRule="auto"/>
      <w:ind w:right="-496" w:firstLine="1620"/>
      <w:jc w:val="both"/>
    </w:p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cuodecorpodetexto">
    <w:name w:val="Body Text Indent"/>
    <w:basedOn w:val="Normal"/>
    <w:pPr>
      <w:spacing w:after="120"/>
      <w:ind w:left="283"/>
    </w:pPr>
  </w:style>
  <w:style w:type="paragraph" w:styleId="Textodebalo">
    <w:name w:val="Balloon Text"/>
    <w:basedOn w:val="Normal"/>
    <w:qFormat/>
    <w:rPr>
      <w:sz w:val="16"/>
      <w:szCs w:val="16"/>
    </w:rPr>
  </w:style>
  <w:style w:type="paragraph" w:customStyle="1" w:styleId="Textoembloco1">
    <w:name w:val="Texto em bloco1"/>
    <w:basedOn w:val="Normal"/>
    <w:qFormat/>
    <w:pPr>
      <w:ind w:left="1985" w:right="851" w:firstLine="2835"/>
      <w:jc w:val="both"/>
    </w:pPr>
    <w:rPr>
      <w:rFonts w:ascii="Bookman Old Style" w:hAnsi="Bookman Old Style" w:cs="Bookman Old Style"/>
      <w:sz w:val="28"/>
    </w:rPr>
  </w:style>
  <w:style w:type="paragraph" w:customStyle="1" w:styleId="Corpodetexto31">
    <w:name w:val="Corpo de texto 31"/>
    <w:basedOn w:val="Normal"/>
    <w:qFormat/>
    <w:pPr>
      <w:spacing w:after="120"/>
    </w:pPr>
    <w:rPr>
      <w:sz w:val="16"/>
      <w:szCs w:val="16"/>
    </w:rPr>
  </w:style>
  <w:style w:type="paragraph" w:styleId="NormalWeb">
    <w:name w:val="Normal (Web)"/>
    <w:basedOn w:val="Normal"/>
    <w:uiPriority w:val="99"/>
    <w:qFormat/>
    <w:pPr>
      <w:spacing w:before="280" w:after="280"/>
    </w:pPr>
    <w:rPr>
      <w:rFonts w:ascii="Verdana" w:hAnsi="Verdana" w:cs="Verdana"/>
      <w:sz w:val="15"/>
      <w:szCs w:val="15"/>
    </w:rPr>
  </w:style>
  <w:style w:type="paragraph" w:styleId="Textodenotaderodap">
    <w:name w:val="footnote text"/>
    <w:basedOn w:val="Normal"/>
    <w:link w:val="TextodenotaderodapChar1"/>
    <w:qFormat/>
  </w:style>
  <w:style w:type="paragraph" w:customStyle="1" w:styleId="rp">
    <w:name w:val="rp"/>
    <w:basedOn w:val="Normal"/>
    <w:qFormat/>
    <w:pPr>
      <w:spacing w:before="300"/>
      <w:ind w:left="450" w:right="450"/>
      <w:jc w:val="right"/>
    </w:pPr>
    <w:rPr>
      <w:iCs/>
      <w:color w:val="000080"/>
    </w:rPr>
  </w:style>
  <w:style w:type="paragraph" w:customStyle="1" w:styleId="Default">
    <w:name w:val="Default"/>
    <w:qFormat/>
    <w:rPr>
      <w:rFonts w:eastAsia="SimSun"/>
      <w:color w:val="000000"/>
      <w:sz w:val="24"/>
      <w:szCs w:val="24"/>
      <w:lang w:eastAsia="ar-SA"/>
    </w:rPr>
  </w:style>
  <w:style w:type="paragraph" w:customStyle="1" w:styleId="regpub">
    <w:name w:val="regpub"/>
    <w:basedOn w:val="Normal"/>
    <w:qFormat/>
    <w:pPr>
      <w:spacing w:before="30" w:after="120"/>
      <w:ind w:left="450" w:right="4500"/>
    </w:pPr>
    <w:rPr>
      <w:rFonts w:ascii="Arial" w:hAnsi="Arial" w:cs="Arial"/>
      <w:i/>
      <w:iCs/>
      <w:sz w:val="18"/>
      <w:szCs w:val="18"/>
    </w:rPr>
  </w:style>
  <w:style w:type="paragraph" w:customStyle="1" w:styleId="carta">
    <w:name w:val="carta"/>
    <w:basedOn w:val="Normal"/>
    <w:qFormat/>
    <w:pPr>
      <w:ind w:left="450" w:right="450"/>
      <w:jc w:val="both"/>
    </w:pPr>
    <w:rPr>
      <w:iCs/>
      <w:color w:val="000080"/>
    </w:rPr>
  </w:style>
  <w:style w:type="paragraph" w:customStyle="1" w:styleId="Escritorio">
    <w:name w:val="Escritorio"/>
    <w:basedOn w:val="Normal"/>
    <w:qFormat/>
    <w:pPr>
      <w:spacing w:line="360" w:lineRule="auto"/>
      <w:jc w:val="both"/>
    </w:pPr>
    <w:rPr>
      <w:rFonts w:ascii="Courier New" w:hAnsi="Courier New" w:cs="Courier New"/>
      <w:spacing w:val="20"/>
      <w:sz w:val="28"/>
    </w:rPr>
  </w:style>
  <w:style w:type="paragraph" w:styleId="SemEspaamento">
    <w:name w:val="No Spacing"/>
    <w:next w:val="Normal"/>
    <w:uiPriority w:val="1"/>
    <w:qFormat/>
    <w:rPr>
      <w:lang w:eastAsia="ar-SA"/>
    </w:rPr>
  </w:style>
  <w:style w:type="paragraph" w:styleId="PargrafodaLista">
    <w:name w:val="List Paragraph"/>
    <w:link w:val="PargrafodaListaChar"/>
    <w:uiPriority w:val="34"/>
    <w:qFormat/>
    <w:pPr>
      <w:spacing w:before="120" w:after="120" w:line="360" w:lineRule="auto"/>
      <w:ind w:left="720" w:firstLine="709"/>
      <w:jc w:val="both"/>
    </w:pPr>
    <w:rPr>
      <w:rFonts w:ascii="Calibri" w:eastAsia="Calibri" w:hAnsi="Calibri" w:cs="Calibri"/>
      <w:sz w:val="22"/>
      <w:lang w:eastAsia="ar-SA"/>
    </w:rPr>
  </w:style>
  <w:style w:type="paragraph" w:customStyle="1" w:styleId="Contedodequadro">
    <w:name w:val="Conteúdo de quadro"/>
    <w:basedOn w:val="Corpodetexto"/>
    <w:qFormat/>
  </w:style>
  <w:style w:type="paragraph" w:customStyle="1" w:styleId="Contedodetabela">
    <w:name w:val="Conteúdo de tabela"/>
    <w:basedOn w:val="Normal"/>
    <w:qFormat/>
    <w:pPr>
      <w:suppressLineNumbers/>
    </w:pPr>
  </w:style>
  <w:style w:type="paragraph" w:customStyle="1" w:styleId="Contedodatabela">
    <w:name w:val="Conteúdo da tabela"/>
    <w:basedOn w:val="Normal"/>
    <w:qFormat/>
  </w:style>
  <w:style w:type="paragraph" w:customStyle="1" w:styleId="Ttulodetabela">
    <w:name w:val="Título de tabela"/>
    <w:basedOn w:val="Contedodetabela"/>
    <w:qFormat/>
    <w:pPr>
      <w:jc w:val="center"/>
    </w:pPr>
    <w:rPr>
      <w:b/>
      <w:bCs/>
    </w:rPr>
  </w:style>
  <w:style w:type="paragraph" w:styleId="Recuodecorpodetexto2">
    <w:name w:val="Body Text Indent 2"/>
    <w:basedOn w:val="Normal"/>
    <w:link w:val="Recuodecorpodetexto2Char1"/>
    <w:uiPriority w:val="99"/>
    <w:unhideWhenUsed/>
    <w:qFormat/>
    <w:pPr>
      <w:spacing w:after="120" w:line="480" w:lineRule="auto"/>
      <w:ind w:left="283"/>
    </w:pPr>
  </w:style>
  <w:style w:type="paragraph" w:customStyle="1" w:styleId="PargrafoNormal">
    <w:name w:val="Parágrafo Normal"/>
    <w:basedOn w:val="Normal"/>
    <w:uiPriority w:val="99"/>
    <w:qFormat/>
    <w:pPr>
      <w:widowControl w:val="0"/>
      <w:spacing w:line="360" w:lineRule="auto"/>
      <w:ind w:firstLine="1418"/>
      <w:jc w:val="both"/>
    </w:pPr>
    <w:rPr>
      <w:rFonts w:eastAsia="Times New Roman"/>
      <w:sz w:val="24"/>
      <w:szCs w:val="24"/>
      <w:lang w:eastAsia="pt-BR"/>
    </w:rPr>
  </w:style>
  <w:style w:type="paragraph" w:customStyle="1" w:styleId="Citao1">
    <w:name w:val="Citação 1"/>
    <w:basedOn w:val="Normal"/>
    <w:next w:val="Normal"/>
    <w:qFormat/>
    <w:pPr>
      <w:widowControl w:val="0"/>
      <w:tabs>
        <w:tab w:val="left" w:pos="3686"/>
      </w:tabs>
      <w:spacing w:line="276" w:lineRule="auto"/>
      <w:ind w:left="3119"/>
      <w:jc w:val="both"/>
    </w:pPr>
    <w:rPr>
      <w:rFonts w:eastAsia="Times New Roman"/>
      <w:i/>
      <w:sz w:val="22"/>
      <w:szCs w:val="24"/>
      <w:lang w:eastAsia="pt-BR"/>
    </w:rPr>
  </w:style>
  <w:style w:type="character" w:styleId="Refdenotaderodap">
    <w:name w:val="footnote reference"/>
    <w:basedOn w:val="Fontepargpadro"/>
    <w:unhideWhenUsed/>
    <w:rPr>
      <w:vertAlign w:val="superscript"/>
    </w:rPr>
  </w:style>
  <w:style w:type="paragraph" w:customStyle="1" w:styleId="mm8nw">
    <w:name w:val="mm8nw"/>
    <w:basedOn w:val="Normal"/>
    <w:pPr>
      <w:spacing w:before="100" w:beforeAutospacing="1" w:after="100" w:afterAutospacing="1"/>
    </w:pPr>
    <w:rPr>
      <w:rFonts w:eastAsiaTheme="minorEastAsia"/>
      <w:sz w:val="24"/>
      <w:szCs w:val="24"/>
      <w:lang w:eastAsia="pt-BR"/>
    </w:rPr>
  </w:style>
  <w:style w:type="character" w:customStyle="1" w:styleId="2phjq">
    <w:name w:val="_2phjq"/>
    <w:basedOn w:val="Fontepargpadro"/>
  </w:style>
  <w:style w:type="character" w:styleId="Hyperlink">
    <w:name w:val="Hyperlink"/>
    <w:uiPriority w:val="99"/>
    <w:rPr>
      <w:color w:val="0563C1"/>
      <w:u w:val="single"/>
    </w:rPr>
  </w:style>
  <w:style w:type="character" w:customStyle="1" w:styleId="TextodenotaderodapChar1">
    <w:name w:val="Texto de nota de rodapé Char1"/>
    <w:link w:val="Textodenotaderodap"/>
    <w:rPr>
      <w:rFonts w:eastAsia="SimSun"/>
      <w:lang w:eastAsia="ar-SA"/>
    </w:rPr>
  </w:style>
  <w:style w:type="paragraph" w:customStyle="1" w:styleId="adbecmadbecmfulljustification">
    <w:name w:val="adbe_cm_adbe_cm_full_justification"/>
    <w:basedOn w:val="Normal"/>
    <w:pPr>
      <w:spacing w:before="100" w:beforeAutospacing="1" w:after="100" w:afterAutospacing="1"/>
    </w:pPr>
    <w:rPr>
      <w:rFonts w:eastAsiaTheme="minorEastAsia"/>
      <w:sz w:val="24"/>
      <w:szCs w:val="24"/>
      <w:lang w:eastAsia="pt-BR"/>
    </w:rPr>
  </w:style>
  <w:style w:type="character" w:customStyle="1" w:styleId="adbecmadbetext0011">
    <w:name w:val="adbe_cm_adbe_text_0011"/>
    <w:basedOn w:val="Fontepargpadro"/>
  </w:style>
  <w:style w:type="paragraph" w:customStyle="1" w:styleId="adbecmadbetext0014">
    <w:name w:val="adbe_cm_adbe_text_0014"/>
    <w:basedOn w:val="Normal"/>
    <w:pPr>
      <w:spacing w:before="100" w:beforeAutospacing="1" w:after="100" w:afterAutospacing="1"/>
    </w:pPr>
    <w:rPr>
      <w:rFonts w:eastAsiaTheme="minorEastAsia"/>
      <w:sz w:val="24"/>
      <w:szCs w:val="24"/>
      <w:lang w:eastAsia="pt-BR"/>
    </w:rPr>
  </w:style>
  <w:style w:type="character" w:customStyle="1" w:styleId="adbecmadbetext0016">
    <w:name w:val="adbe_cm_adbe_text_0016"/>
    <w:basedOn w:val="Fontepargpadro"/>
  </w:style>
  <w:style w:type="character" w:customStyle="1" w:styleId="adbecmadbetext005c">
    <w:name w:val="adbe_cm_adbe_text_005c"/>
    <w:basedOn w:val="Fontepargpadro"/>
  </w:style>
  <w:style w:type="character" w:customStyle="1" w:styleId="markedcontent">
    <w:name w:val="markedcontent"/>
    <w:basedOn w:val="Fontepargpadro"/>
  </w:style>
  <w:style w:type="paragraph" w:customStyle="1" w:styleId="Nivel01">
    <w:name w:val="Nivel 01"/>
    <w:basedOn w:val="Ttulo1"/>
    <w:next w:val="Normal"/>
    <w:link w:val="Nivel01Char"/>
    <w:qFormat/>
    <w:pPr>
      <w:keepLines/>
      <w:numPr>
        <w:numId w:val="1"/>
      </w:numPr>
      <w:tabs>
        <w:tab w:val="left" w:pos="567"/>
      </w:tabs>
      <w:spacing w:before="240"/>
      <w:ind w:left="0" w:right="0" w:firstLine="0"/>
      <w:jc w:val="both"/>
    </w:pPr>
    <w:rPr>
      <w:rFonts w:ascii="Arial" w:eastAsiaTheme="majorEastAsia" w:hAnsi="Arial" w:cs="Arial"/>
      <w:sz w:val="20"/>
      <w:szCs w:val="20"/>
      <w:lang w:eastAsia="pt-BR"/>
    </w:rPr>
  </w:style>
  <w:style w:type="character" w:customStyle="1" w:styleId="Nivel01Char">
    <w:name w:val="Nivel 01 Char"/>
    <w:basedOn w:val="Fontepargpadro"/>
    <w:link w:val="Nivel01"/>
    <w:rPr>
      <w:rFonts w:ascii="Arial" w:eastAsiaTheme="majorEastAsia" w:hAnsi="Arial" w:cs="Arial"/>
      <w:b/>
      <w:bCs/>
    </w:rPr>
  </w:style>
  <w:style w:type="paragraph" w:customStyle="1" w:styleId="Nivel2">
    <w:name w:val="Nivel 2"/>
    <w:basedOn w:val="Normal"/>
    <w:link w:val="Nivel2Char"/>
    <w:qFormat/>
    <w:pPr>
      <w:numPr>
        <w:ilvl w:val="1"/>
        <w:numId w:val="1"/>
      </w:numPr>
      <w:spacing w:before="120" w:after="120" w:line="276" w:lineRule="auto"/>
      <w:ind w:left="0" w:firstLine="0"/>
      <w:jc w:val="both"/>
    </w:pPr>
    <w:rPr>
      <w:rFonts w:ascii="Arial" w:eastAsiaTheme="minorEastAsia" w:hAnsi="Arial" w:cs="Arial"/>
      <w:color w:val="000000"/>
      <w:lang w:eastAsia="pt-BR"/>
    </w:rPr>
  </w:style>
  <w:style w:type="paragraph" w:customStyle="1" w:styleId="Nivel3">
    <w:name w:val="Nivel 3"/>
    <w:basedOn w:val="Normal"/>
    <w:link w:val="Nivel3Char"/>
    <w:qFormat/>
    <w:pPr>
      <w:numPr>
        <w:ilvl w:val="2"/>
        <w:numId w:val="1"/>
      </w:numPr>
      <w:spacing w:before="120" w:after="120" w:line="276" w:lineRule="auto"/>
      <w:ind w:left="284" w:firstLine="0"/>
      <w:jc w:val="both"/>
    </w:pPr>
    <w:rPr>
      <w:rFonts w:ascii="Arial" w:eastAsiaTheme="minorEastAsia" w:hAnsi="Arial" w:cs="Arial"/>
      <w:color w:val="000000"/>
      <w:lang w:eastAsia="pt-BR"/>
    </w:rPr>
  </w:style>
  <w:style w:type="paragraph" w:customStyle="1" w:styleId="Nivel4">
    <w:name w:val="Nivel 4"/>
    <w:basedOn w:val="Nivel3"/>
    <w:link w:val="Nivel4Char"/>
    <w:qFormat/>
    <w:pPr>
      <w:numPr>
        <w:ilvl w:val="3"/>
      </w:numPr>
      <w:ind w:left="567" w:firstLine="0"/>
    </w:pPr>
    <w:rPr>
      <w:color w:val="auto"/>
    </w:rPr>
  </w:style>
  <w:style w:type="paragraph" w:customStyle="1" w:styleId="Nivel5">
    <w:name w:val="Nivel 5"/>
    <w:basedOn w:val="Nivel4"/>
    <w:qFormat/>
    <w:pPr>
      <w:numPr>
        <w:ilvl w:val="4"/>
      </w:numPr>
      <w:ind w:left="1276" w:firstLine="0"/>
    </w:pPr>
  </w:style>
  <w:style w:type="character" w:customStyle="1" w:styleId="Nivel4Char">
    <w:name w:val="Nivel 4 Char"/>
    <w:basedOn w:val="Fontepargpadro"/>
    <w:link w:val="Nivel4"/>
    <w:rPr>
      <w:rFonts w:ascii="Arial" w:eastAsiaTheme="minorEastAsia" w:hAnsi="Arial" w:cs="Arial"/>
    </w:rPr>
  </w:style>
  <w:style w:type="character" w:customStyle="1" w:styleId="Nivel2Char">
    <w:name w:val="Nivel 2 Char"/>
    <w:basedOn w:val="Fontepargpadro"/>
    <w:link w:val="Nivel2"/>
    <w:rPr>
      <w:rFonts w:ascii="Arial" w:eastAsiaTheme="minorEastAsia" w:hAnsi="Arial" w:cs="Arial"/>
      <w:color w:val="000000"/>
    </w:rPr>
  </w:style>
  <w:style w:type="character" w:customStyle="1" w:styleId="PargrafodaListaChar">
    <w:name w:val="Parágrafo da Lista Char"/>
    <w:basedOn w:val="Fontepargpadro"/>
    <w:link w:val="PargrafodaLista"/>
    <w:uiPriority w:val="34"/>
    <w:rPr>
      <w:rFonts w:ascii="Calibri" w:eastAsia="Calibri" w:hAnsi="Calibri" w:cs="Calibri"/>
      <w:sz w:val="22"/>
      <w:lang w:eastAsia="ar-SA"/>
    </w:rPr>
  </w:style>
  <w:style w:type="paragraph" w:customStyle="1" w:styleId="ou">
    <w:name w:val="ou"/>
    <w:basedOn w:val="PargrafodaLista"/>
    <w:link w:val="ouChar"/>
    <w:qFormat/>
    <w:pPr>
      <w:spacing w:before="60" w:after="60" w:line="259" w:lineRule="auto"/>
      <w:ind w:left="0" w:firstLine="0"/>
      <w:jc w:val="center"/>
    </w:pPr>
    <w:rPr>
      <w:rFonts w:ascii="Arial" w:eastAsiaTheme="minorEastAsia" w:hAnsi="Arial" w:cs="Arial"/>
      <w:b/>
      <w:bCs/>
      <w:i/>
      <w:iCs/>
      <w:color w:val="FF0000"/>
      <w:sz w:val="24"/>
      <w:szCs w:val="24"/>
      <w:u w:val="single"/>
    </w:rPr>
  </w:style>
  <w:style w:type="character" w:customStyle="1" w:styleId="ouChar">
    <w:name w:val="ou Char"/>
    <w:basedOn w:val="PargrafodaListaChar"/>
    <w:link w:val="ou"/>
    <w:rPr>
      <w:rFonts w:ascii="Arial" w:eastAsiaTheme="minorEastAsia" w:hAnsi="Arial" w:cs="Arial"/>
      <w:b/>
      <w:bCs/>
      <w:i/>
      <w:iCs/>
      <w:color w:val="FF0000"/>
      <w:sz w:val="24"/>
      <w:szCs w:val="24"/>
      <w:u w:val="single"/>
      <w:lang w:eastAsia="ar-SA"/>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rPr>
      <w:i/>
      <w:iCs/>
      <w:color w:val="FF0000"/>
    </w:rPr>
  </w:style>
  <w:style w:type="character" w:customStyle="1" w:styleId="Nvel2-RedChar">
    <w:name w:val="Nível 2 -Red Char"/>
    <w:basedOn w:val="Nivel2Char"/>
    <w:link w:val="Nvel2-Red"/>
    <w:rPr>
      <w:rFonts w:ascii="Arial" w:eastAsiaTheme="minorEastAsia" w:hAnsi="Arial" w:cs="Arial"/>
      <w:i/>
      <w:iCs/>
      <w:color w:val="FF0000"/>
    </w:rPr>
  </w:style>
  <w:style w:type="paragraph" w:customStyle="1" w:styleId="Nvel4-R">
    <w:name w:val="Nível 4-R"/>
    <w:basedOn w:val="Nivel4"/>
    <w:link w:val="Nvel4-RChar"/>
    <w:qFormat/>
    <w:pPr>
      <w:ind w:left="851"/>
    </w:pPr>
    <w:rPr>
      <w:i/>
      <w:iCs/>
      <w:color w:val="FF0000"/>
    </w:rPr>
  </w:style>
  <w:style w:type="character" w:customStyle="1" w:styleId="Nivel3Char">
    <w:name w:val="Nivel 3 Char"/>
    <w:basedOn w:val="Fontepargpadro"/>
    <w:link w:val="Nivel3"/>
    <w:rPr>
      <w:rFonts w:ascii="Arial" w:eastAsiaTheme="minorEastAsia" w:hAnsi="Arial" w:cs="Arial"/>
      <w:color w:val="000000"/>
    </w:rPr>
  </w:style>
  <w:style w:type="character" w:customStyle="1" w:styleId="Nvel3-RChar">
    <w:name w:val="Nível 3-R Char"/>
    <w:basedOn w:val="Nivel3Char"/>
    <w:link w:val="Nvel3-R"/>
    <w:rPr>
      <w:rFonts w:ascii="Arial" w:eastAsiaTheme="minorEastAsia" w:hAnsi="Arial" w:cs="Arial"/>
      <w:i/>
      <w:iCs/>
      <w:color w:val="FF0000"/>
    </w:rPr>
  </w:style>
  <w:style w:type="character" w:customStyle="1" w:styleId="Nvel4-RChar">
    <w:name w:val="Nível 4-R Char"/>
    <w:basedOn w:val="Nivel4Char"/>
    <w:link w:val="Nvel4-R"/>
    <w:rPr>
      <w:rFonts w:ascii="Arial" w:eastAsiaTheme="minorEastAsia" w:hAnsi="Arial" w:cs="Arial"/>
      <w:i/>
      <w:iCs/>
      <w:color w:val="FF0000"/>
    </w:rPr>
  </w:style>
  <w:style w:type="paragraph" w:customStyle="1" w:styleId="Prembulo">
    <w:name w:val="Preâmbulo"/>
    <w:basedOn w:val="Normal"/>
    <w:link w:val="PrembuloChar"/>
    <w:qFormat/>
    <w:pPr>
      <w:spacing w:before="480" w:after="120" w:line="360" w:lineRule="auto"/>
      <w:ind w:left="4253" w:right="-17"/>
      <w:jc w:val="both"/>
    </w:pPr>
    <w:rPr>
      <w:rFonts w:ascii="Arial" w:eastAsia="Arial" w:hAnsi="Arial" w:cs="Arial"/>
      <w:bCs/>
      <w:lang w:eastAsia="pt-BR"/>
    </w:rPr>
  </w:style>
  <w:style w:type="character" w:customStyle="1" w:styleId="PrembuloChar">
    <w:name w:val="Preâmbulo Char"/>
    <w:basedOn w:val="Fontepargpadro"/>
    <w:link w:val="Prembulo"/>
    <w:rPr>
      <w:rFonts w:ascii="Arial" w:eastAsia="Arial" w:hAnsi="Arial" w:cs="Arial"/>
      <w:bCs/>
    </w:rPr>
  </w:style>
  <w:style w:type="table" w:styleId="Tabelacomgrade">
    <w:name w:val="Table Grid"/>
    <w:basedOn w:val="Tabelanormal"/>
    <w:rPr>
      <w:rFonts w:eastAsiaTheme="minorEastAs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Fontepargpadro"/>
    <w:rPr>
      <w:rFonts w:ascii="Segoe UI" w:hAnsi="Segoe UI" w:cs="Segoe UI" w:hint="default"/>
      <w:i/>
      <w:iCs/>
      <w:sz w:val="18"/>
      <w:szCs w:val="18"/>
    </w:rPr>
  </w:style>
  <w:style w:type="paragraph" w:customStyle="1" w:styleId="pf0">
    <w:name w:val="pf0"/>
    <w:basedOn w:val="Normal"/>
    <w:pPr>
      <w:spacing w:before="100" w:beforeAutospacing="1" w:after="100" w:afterAutospacing="1"/>
    </w:pPr>
    <w:rPr>
      <w:rFonts w:eastAsia="Times New Roman"/>
      <w:sz w:val="24"/>
      <w:szCs w:val="24"/>
      <w:lang w:eastAsia="pt-BR"/>
    </w:rPr>
  </w:style>
  <w:style w:type="character" w:styleId="Refdecomentrio">
    <w:name w:val="annotation reference"/>
    <w:basedOn w:val="Fontepargpadro"/>
    <w:unhideWhenUsed/>
    <w:qFormat/>
    <w:rPr>
      <w:sz w:val="16"/>
      <w:szCs w:val="16"/>
    </w:rPr>
  </w:style>
  <w:style w:type="paragraph" w:styleId="Textodecomentrio">
    <w:name w:val="annotation text"/>
    <w:basedOn w:val="Normal"/>
    <w:link w:val="TextodecomentrioChar"/>
    <w:uiPriority w:val="99"/>
    <w:unhideWhenUsed/>
    <w:qFormat/>
    <w:rPr>
      <w:rFonts w:ascii="Ecofont_Spranq_eco_Sans" w:eastAsiaTheme="minorEastAsia" w:hAnsi="Ecofont_Spranq_eco_Sans" w:cs="Tahoma"/>
      <w:lang w:eastAsia="pt-BR"/>
    </w:rPr>
  </w:style>
  <w:style w:type="character" w:customStyle="1" w:styleId="TextodecomentrioChar">
    <w:name w:val="Texto de comentário Char"/>
    <w:basedOn w:val="Fontepargpadro"/>
    <w:link w:val="Textodecomentrio"/>
    <w:uiPriority w:val="99"/>
    <w:qFormat/>
    <w:rPr>
      <w:rFonts w:ascii="Ecofont_Spranq_eco_Sans" w:eastAsiaTheme="minorEastAsia" w:hAnsi="Ecofont_Spranq_eco_Sans" w:cs="Tahoma"/>
    </w:rPr>
  </w:style>
  <w:style w:type="character" w:styleId="MenoPendente">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2611">
      <w:bodyDiv w:val="1"/>
      <w:marLeft w:val="0"/>
      <w:marRight w:val="0"/>
      <w:marTop w:val="0"/>
      <w:marBottom w:val="0"/>
      <w:divBdr>
        <w:top w:val="none" w:sz="0" w:space="0" w:color="auto"/>
        <w:left w:val="none" w:sz="0" w:space="0" w:color="auto"/>
        <w:bottom w:val="none" w:sz="0" w:space="0" w:color="auto"/>
        <w:right w:val="none" w:sz="0" w:space="0" w:color="auto"/>
      </w:divBdr>
    </w:div>
    <w:div w:id="194464708">
      <w:bodyDiv w:val="1"/>
      <w:marLeft w:val="0"/>
      <w:marRight w:val="0"/>
      <w:marTop w:val="0"/>
      <w:marBottom w:val="0"/>
      <w:divBdr>
        <w:top w:val="none" w:sz="0" w:space="0" w:color="auto"/>
        <w:left w:val="none" w:sz="0" w:space="0" w:color="auto"/>
        <w:bottom w:val="none" w:sz="0" w:space="0" w:color="auto"/>
        <w:right w:val="none" w:sz="0" w:space="0" w:color="auto"/>
      </w:divBdr>
    </w:div>
    <w:div w:id="376012673">
      <w:bodyDiv w:val="1"/>
      <w:marLeft w:val="0"/>
      <w:marRight w:val="0"/>
      <w:marTop w:val="0"/>
      <w:marBottom w:val="0"/>
      <w:divBdr>
        <w:top w:val="none" w:sz="0" w:space="0" w:color="auto"/>
        <w:left w:val="none" w:sz="0" w:space="0" w:color="auto"/>
        <w:bottom w:val="none" w:sz="0" w:space="0" w:color="auto"/>
        <w:right w:val="none" w:sz="0" w:space="0" w:color="auto"/>
      </w:divBdr>
    </w:div>
    <w:div w:id="448016754">
      <w:bodyDiv w:val="1"/>
      <w:marLeft w:val="0"/>
      <w:marRight w:val="0"/>
      <w:marTop w:val="0"/>
      <w:marBottom w:val="0"/>
      <w:divBdr>
        <w:top w:val="none" w:sz="0" w:space="0" w:color="auto"/>
        <w:left w:val="none" w:sz="0" w:space="0" w:color="auto"/>
        <w:bottom w:val="none" w:sz="0" w:space="0" w:color="auto"/>
        <w:right w:val="none" w:sz="0" w:space="0" w:color="auto"/>
      </w:divBdr>
    </w:div>
    <w:div w:id="668405702">
      <w:bodyDiv w:val="1"/>
      <w:marLeft w:val="0"/>
      <w:marRight w:val="0"/>
      <w:marTop w:val="0"/>
      <w:marBottom w:val="0"/>
      <w:divBdr>
        <w:top w:val="none" w:sz="0" w:space="0" w:color="auto"/>
        <w:left w:val="none" w:sz="0" w:space="0" w:color="auto"/>
        <w:bottom w:val="none" w:sz="0" w:space="0" w:color="auto"/>
        <w:right w:val="none" w:sz="0" w:space="0" w:color="auto"/>
      </w:divBdr>
    </w:div>
    <w:div w:id="680931089">
      <w:bodyDiv w:val="1"/>
      <w:marLeft w:val="0"/>
      <w:marRight w:val="0"/>
      <w:marTop w:val="0"/>
      <w:marBottom w:val="0"/>
      <w:divBdr>
        <w:top w:val="none" w:sz="0" w:space="0" w:color="auto"/>
        <w:left w:val="none" w:sz="0" w:space="0" w:color="auto"/>
        <w:bottom w:val="none" w:sz="0" w:space="0" w:color="auto"/>
        <w:right w:val="none" w:sz="0" w:space="0" w:color="auto"/>
      </w:divBdr>
    </w:div>
    <w:div w:id="771097158">
      <w:bodyDiv w:val="1"/>
      <w:marLeft w:val="0"/>
      <w:marRight w:val="0"/>
      <w:marTop w:val="0"/>
      <w:marBottom w:val="0"/>
      <w:divBdr>
        <w:top w:val="none" w:sz="0" w:space="0" w:color="auto"/>
        <w:left w:val="none" w:sz="0" w:space="0" w:color="auto"/>
        <w:bottom w:val="none" w:sz="0" w:space="0" w:color="auto"/>
        <w:right w:val="none" w:sz="0" w:space="0" w:color="auto"/>
      </w:divBdr>
    </w:div>
    <w:div w:id="891422871">
      <w:bodyDiv w:val="1"/>
      <w:marLeft w:val="0"/>
      <w:marRight w:val="0"/>
      <w:marTop w:val="0"/>
      <w:marBottom w:val="0"/>
      <w:divBdr>
        <w:top w:val="none" w:sz="0" w:space="0" w:color="auto"/>
        <w:left w:val="none" w:sz="0" w:space="0" w:color="auto"/>
        <w:bottom w:val="none" w:sz="0" w:space="0" w:color="auto"/>
        <w:right w:val="none" w:sz="0" w:space="0" w:color="auto"/>
      </w:divBdr>
    </w:div>
    <w:div w:id="994651457">
      <w:bodyDiv w:val="1"/>
      <w:marLeft w:val="0"/>
      <w:marRight w:val="0"/>
      <w:marTop w:val="0"/>
      <w:marBottom w:val="0"/>
      <w:divBdr>
        <w:top w:val="none" w:sz="0" w:space="0" w:color="auto"/>
        <w:left w:val="none" w:sz="0" w:space="0" w:color="auto"/>
        <w:bottom w:val="none" w:sz="0" w:space="0" w:color="auto"/>
        <w:right w:val="none" w:sz="0" w:space="0" w:color="auto"/>
      </w:divBdr>
    </w:div>
    <w:div w:id="1074858557">
      <w:bodyDiv w:val="1"/>
      <w:marLeft w:val="0"/>
      <w:marRight w:val="0"/>
      <w:marTop w:val="0"/>
      <w:marBottom w:val="0"/>
      <w:divBdr>
        <w:top w:val="none" w:sz="0" w:space="0" w:color="auto"/>
        <w:left w:val="none" w:sz="0" w:space="0" w:color="auto"/>
        <w:bottom w:val="none" w:sz="0" w:space="0" w:color="auto"/>
        <w:right w:val="none" w:sz="0" w:space="0" w:color="auto"/>
      </w:divBdr>
    </w:div>
    <w:div w:id="1093546606">
      <w:bodyDiv w:val="1"/>
      <w:marLeft w:val="0"/>
      <w:marRight w:val="0"/>
      <w:marTop w:val="0"/>
      <w:marBottom w:val="0"/>
      <w:divBdr>
        <w:top w:val="none" w:sz="0" w:space="0" w:color="auto"/>
        <w:left w:val="none" w:sz="0" w:space="0" w:color="auto"/>
        <w:bottom w:val="none" w:sz="0" w:space="0" w:color="auto"/>
        <w:right w:val="none" w:sz="0" w:space="0" w:color="auto"/>
      </w:divBdr>
    </w:div>
    <w:div w:id="1334986911">
      <w:bodyDiv w:val="1"/>
      <w:marLeft w:val="0"/>
      <w:marRight w:val="0"/>
      <w:marTop w:val="0"/>
      <w:marBottom w:val="0"/>
      <w:divBdr>
        <w:top w:val="none" w:sz="0" w:space="0" w:color="auto"/>
        <w:left w:val="none" w:sz="0" w:space="0" w:color="auto"/>
        <w:bottom w:val="none" w:sz="0" w:space="0" w:color="auto"/>
        <w:right w:val="none" w:sz="0" w:space="0" w:color="auto"/>
      </w:divBdr>
    </w:div>
    <w:div w:id="2014136794">
      <w:bodyDiv w:val="1"/>
      <w:marLeft w:val="0"/>
      <w:marRight w:val="0"/>
      <w:marTop w:val="0"/>
      <w:marBottom w:val="0"/>
      <w:divBdr>
        <w:top w:val="none" w:sz="0" w:space="0" w:color="auto"/>
        <w:left w:val="none" w:sz="0" w:space="0" w:color="auto"/>
        <w:bottom w:val="none" w:sz="0" w:space="0" w:color="auto"/>
        <w:right w:val="none" w:sz="0" w:space="0" w:color="auto"/>
      </w:divBdr>
    </w:div>
    <w:div w:id="2052264822">
      <w:bodyDiv w:val="1"/>
      <w:marLeft w:val="0"/>
      <w:marRight w:val="0"/>
      <w:marTop w:val="0"/>
      <w:marBottom w:val="0"/>
      <w:divBdr>
        <w:top w:val="none" w:sz="0" w:space="0" w:color="auto"/>
        <w:left w:val="none" w:sz="0" w:space="0" w:color="auto"/>
        <w:bottom w:val="none" w:sz="0" w:space="0" w:color="auto"/>
        <w:right w:val="none" w:sz="0" w:space="0" w:color="auto"/>
      </w:divBdr>
    </w:div>
    <w:div w:id="2114934334">
      <w:bodyDiv w:val="1"/>
      <w:marLeft w:val="0"/>
      <w:marRight w:val="0"/>
      <w:marTop w:val="0"/>
      <w:marBottom w:val="0"/>
      <w:divBdr>
        <w:top w:val="none" w:sz="0" w:space="0" w:color="auto"/>
        <w:left w:val="none" w:sz="0" w:space="0" w:color="auto"/>
        <w:bottom w:val="none" w:sz="0" w:space="0" w:color="auto"/>
        <w:right w:val="none" w:sz="0" w:space="0" w:color="auto"/>
      </w:divBdr>
    </w:div>
    <w:div w:id="21421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lanalto.gov.br/ccivil_03/leis/l8078compilado.htm" TargetMode="External"/><Relationship Id="rId23" Type="http://schemas.openxmlformats.org/officeDocument/2006/relationships/hyperlink" Target="https://www.planalto.gov.br/ccivil_03/leis/2002/l10406compilada.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8/lei/l13709.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circular-susep-n-662-de-11-de-abril-de-2022-392772088"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3.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7487-9EC5-B649-9EA0-4A115E69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12247</Words>
  <Characters>66140</Characters>
  <Application>Microsoft Office Word</Application>
  <DocSecurity>0</DocSecurity>
  <Lines>551</Lines>
  <Paragraphs>156</Paragraphs>
  <ScaleCrop>false</ScaleCrop>
  <Company/>
  <LinksUpToDate>false</LinksUpToDate>
  <CharactersWithSpaces>78231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PAULO CEZAR PEREIRA NAZARETH</dc:title>
  <dc:subject/>
  <dc:creator>Denize Almeida</dc:creator>
  <dc:description/>
  <cp:lastModifiedBy>NLC</cp:lastModifiedBy>
  <cp:revision>2</cp:revision>
  <dcterms:created xsi:type="dcterms:W3CDTF">2025-07-28T17:02:00Z</dcterms:created>
  <dcterms:modified xsi:type="dcterms:W3CDTF">2025-07-28T17:02:00Z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1046-10.1.0.5614</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